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4FF1" w14:textId="09C190FE" w:rsidR="005A5D8F" w:rsidRPr="00B74E3F" w:rsidRDefault="00E244E1" w:rsidP="008E3BA4">
      <w:pPr>
        <w:pStyle w:val="01-Headline"/>
      </w:pPr>
      <w:bookmarkStart w:id="0" w:name="_GoBack"/>
      <w:bookmarkEnd w:id="0"/>
      <w:r w:rsidRPr="00B74E3F">
        <mc:AlternateContent>
          <mc:Choice Requires="wps">
            <w:drawing>
              <wp:anchor distT="0" distB="0" distL="114300" distR="114300" simplePos="0" relativeHeight="251658242" behindDoc="0" locked="0" layoutInCell="1" allowOverlap="1" wp14:anchorId="19A1A9A9" wp14:editId="4458D7D9">
                <wp:simplePos x="0" y="0"/>
                <wp:positionH relativeFrom="column">
                  <wp:posOffset>7280679</wp:posOffset>
                </wp:positionH>
                <wp:positionV relativeFrom="paragraph">
                  <wp:posOffset>-1613189</wp:posOffset>
                </wp:positionV>
                <wp:extent cx="1949569" cy="1655619"/>
                <wp:effectExtent l="0" t="0" r="12700" b="20955"/>
                <wp:wrapNone/>
                <wp:docPr id="4" name="Textfeld 4"/>
                <wp:cNvGraphicFramePr/>
                <a:graphic xmlns:a="http://schemas.openxmlformats.org/drawingml/2006/main">
                  <a:graphicData uri="http://schemas.microsoft.com/office/word/2010/wordprocessingShape">
                    <wps:wsp>
                      <wps:cNvSpPr txBox="1"/>
                      <wps:spPr>
                        <a:xfrm>
                          <a:off x="0" y="0"/>
                          <a:ext cx="1949569" cy="1655619"/>
                        </a:xfrm>
                        <a:prstGeom prst="rect">
                          <a:avLst/>
                        </a:prstGeom>
                        <a:solidFill>
                          <a:schemeClr val="lt1"/>
                        </a:solidFill>
                        <a:ln w="6350">
                          <a:solidFill>
                            <a:prstClr val="black"/>
                          </a:solidFill>
                        </a:ln>
                      </wps:spPr>
                      <wps:txbx>
                        <w:txbxContent>
                          <w:p w14:paraId="36871D8E" w14:textId="35D58045" w:rsidR="00D73C2C" w:rsidRPr="000A32C9" w:rsidRDefault="00D73C2C" w:rsidP="00E244E1">
                            <w:pPr>
                              <w:spacing w:line="240" w:lineRule="auto"/>
                              <w:rPr>
                                <w:b/>
                                <w:bCs/>
                                <w:sz w:val="16"/>
                                <w:szCs w:val="16"/>
                              </w:rPr>
                            </w:pPr>
                            <w:r>
                              <w:rPr>
                                <w:b/>
                                <w:bCs/>
                                <w:sz w:val="16"/>
                                <w:szCs w:val="16"/>
                              </w:rPr>
                              <w:t>Version: 2.0</w:t>
                            </w:r>
                            <w:r>
                              <w:rPr>
                                <w:b/>
                                <w:bCs/>
                                <w:sz w:val="16"/>
                                <w:szCs w:val="16"/>
                              </w:rPr>
                              <w:br/>
                              <w:t xml:space="preserve">Status: </w:t>
                            </w:r>
                            <w:r w:rsidRPr="000A32C9">
                              <w:rPr>
                                <w:b/>
                                <w:bCs/>
                                <w:sz w:val="16"/>
                                <w:szCs w:val="16"/>
                              </w:rPr>
                              <w:fldChar w:fldCharType="begin"/>
                            </w:r>
                            <w:r w:rsidRPr="000A32C9">
                              <w:rPr>
                                <w:b/>
                                <w:bCs/>
                                <w:sz w:val="16"/>
                                <w:szCs w:val="16"/>
                              </w:rPr>
                              <w:instrText xml:space="preserve"> TIME \@ "dd.MM.yyyy HH:mm" </w:instrText>
                            </w:r>
                            <w:r w:rsidRPr="000A32C9">
                              <w:rPr>
                                <w:b/>
                                <w:bCs/>
                                <w:sz w:val="16"/>
                                <w:szCs w:val="16"/>
                              </w:rPr>
                              <w:fldChar w:fldCharType="separate"/>
                            </w:r>
                            <w:r w:rsidR="007A20B0">
                              <w:rPr>
                                <w:b/>
                                <w:bCs/>
                                <w:noProof/>
                                <w:sz w:val="16"/>
                                <w:szCs w:val="16"/>
                              </w:rPr>
                              <w:t>07.05.2020 07:49</w:t>
                            </w:r>
                            <w:r w:rsidRPr="000A32C9">
                              <w:rPr>
                                <w:b/>
                                <w:bCs/>
                                <w:sz w:val="16"/>
                                <w:szCs w:val="16"/>
                              </w:rPr>
                              <w:fldChar w:fldCharType="end"/>
                            </w:r>
                          </w:p>
                          <w:p w14:paraId="1CE76B57" w14:textId="11B428FE" w:rsidR="00D73C2C" w:rsidRPr="0074025D" w:rsidRDefault="00D73C2C" w:rsidP="000A32C9">
                            <w:pPr>
                              <w:spacing w:line="240" w:lineRule="auto"/>
                              <w:rPr>
                                <w:sz w:val="16"/>
                                <w:szCs w:val="16"/>
                              </w:rPr>
                            </w:pPr>
                            <w:r>
                              <w:rPr>
                                <w:sz w:val="16"/>
                                <w:szCs w:val="16"/>
                              </w:rPr>
                              <w:t xml:space="preserve">Author:  </w:t>
                            </w:r>
                            <w:proofErr w:type="spellStart"/>
                            <w:r>
                              <w:rPr>
                                <w:sz w:val="16"/>
                                <w:szCs w:val="16"/>
                              </w:rPr>
                              <w:t>HSc</w:t>
                            </w:r>
                            <w:proofErr w:type="spellEnd"/>
                            <w:r>
                              <w:rPr>
                                <w:sz w:val="16"/>
                                <w:szCs w:val="16"/>
                              </w:rPr>
                              <w:br/>
                              <w:t>VC:  done</w:t>
                            </w:r>
                            <w:r>
                              <w:rPr>
                                <w:sz w:val="16"/>
                                <w:szCs w:val="16"/>
                              </w:rPr>
                              <w:br/>
                              <w:t xml:space="preserve">BW/CS:  </w:t>
                            </w:r>
                            <w:proofErr w:type="gramStart"/>
                            <w:r>
                              <w:rPr>
                                <w:sz w:val="16"/>
                                <w:szCs w:val="16"/>
                              </w:rPr>
                              <w:t>done  /</w:t>
                            </w:r>
                            <w:proofErr w:type="gramEnd"/>
                            <w:r>
                              <w:rPr>
                                <w:sz w:val="16"/>
                                <w:szCs w:val="16"/>
                              </w:rPr>
                              <w:t xml:space="preserve">  Sr:  </w:t>
                            </w:r>
                            <w:r>
                              <w:rPr>
                                <w:sz w:val="16"/>
                                <w:szCs w:val="16"/>
                              </w:rPr>
                              <w:br/>
                            </w:r>
                            <w:proofErr w:type="spellStart"/>
                            <w:r>
                              <w:rPr>
                                <w:sz w:val="16"/>
                                <w:szCs w:val="16"/>
                              </w:rPr>
                              <w:t>StS</w:t>
                            </w:r>
                            <w:proofErr w:type="spellEnd"/>
                            <w:r>
                              <w:rPr>
                                <w:sz w:val="16"/>
                                <w:szCs w:val="16"/>
                              </w:rPr>
                              <w:t>/HS:  done</w:t>
                            </w:r>
                            <w:r>
                              <w:rPr>
                                <w:sz w:val="16"/>
                                <w:szCs w:val="16"/>
                              </w:rPr>
                              <w:br/>
                              <w:t>FG: done</w:t>
                            </w:r>
                            <w:r>
                              <w:rPr>
                                <w:sz w:val="16"/>
                                <w:szCs w:val="16"/>
                              </w:rPr>
                              <w:br/>
                              <w:t>WS:  done</w:t>
                            </w:r>
                            <w:r>
                              <w:rPr>
                                <w:sz w:val="16"/>
                                <w:szCs w:val="16"/>
                              </w:rPr>
                              <w:br/>
                              <w:t>ED:</w:t>
                            </w:r>
                            <w:r>
                              <w:rPr>
                                <w:sz w:val="16"/>
                                <w:szCs w:val="16"/>
                              </w:rPr>
                              <w:br/>
                            </w:r>
                            <w:r>
                              <w:rPr>
                                <w:sz w:val="16"/>
                                <w:szCs w:val="16"/>
                              </w:rPr>
                              <w:br/>
                              <w:t>Figure check – Controlling:</w:t>
                            </w:r>
                            <w:r>
                              <w:rPr>
                                <w:sz w:val="16"/>
                                <w:szCs w:val="16"/>
                              </w:rPr>
                              <w:br/>
                              <w:t>Final proofread: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1A9A9" id="_x0000_t202" coordsize="21600,21600" o:spt="202" path="m,l,21600r21600,l21600,xe">
                <v:stroke joinstyle="miter"/>
                <v:path gradientshapeok="t" o:connecttype="rect"/>
              </v:shapetype>
              <v:shape id="Textfeld 4" o:spid="_x0000_s1026" type="#_x0000_t202" style="position:absolute;margin-left:573.3pt;margin-top:-127pt;width:153.5pt;height:13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" fillcolor="white [3201]" strokeweight=".5pt">
                <v:textbox>
                  <w:txbxContent>
                    <w:p w14:paraId="36871D8E" w14:textId="35D58045" w:rsidR="00D73C2C" w:rsidRPr="000A32C9" w:rsidRDefault="00D73C2C" w:rsidP="00E244E1">
                      <w:pPr>
                        <w:spacing w:line="240" w:lineRule="auto"/>
                        <w:rPr>
                          <w:b/>
                          <w:bCs/>
                          <w:sz w:val="16"/>
                          <w:szCs w:val="16"/>
                        </w:rPr>
                      </w:pPr>
                      <w:r>
                        <w:rPr>
                          <w:b/>
                          <w:bCs/>
                          <w:sz w:val="16"/>
                          <w:szCs w:val="16"/>
                        </w:rPr>
                        <w:t>Version: 2.0</w:t>
                      </w:r>
                      <w:r>
                        <w:rPr>
                          <w:b/>
                          <w:bCs/>
                          <w:sz w:val="16"/>
                          <w:szCs w:val="16"/>
                        </w:rPr>
                        <w:br/>
                        <w:t xml:space="preserve">Status: </w:t>
                      </w:r>
                      <w:r w:rsidRPr="000A32C9">
                        <w:rPr>
                          <w:b/>
                          <w:bCs/>
                          <w:sz w:val="16"/>
                          <w:szCs w:val="16"/>
                        </w:rPr>
                        <w:fldChar w:fldCharType="begin"/>
                      </w:r>
                      <w:r w:rsidRPr="000A32C9">
                        <w:rPr>
                          <w:b/>
                          <w:bCs/>
                          <w:sz w:val="16"/>
                          <w:szCs w:val="16"/>
                        </w:rPr>
                        <w:instrText xml:space="preserve"> TIME \@ "dd.MM.yyyy HH:mm" </w:instrText>
                      </w:r>
                      <w:r w:rsidRPr="000A32C9">
                        <w:rPr>
                          <w:b/>
                          <w:bCs/>
                          <w:sz w:val="16"/>
                          <w:szCs w:val="16"/>
                        </w:rPr>
                        <w:fldChar w:fldCharType="separate"/>
                      </w:r>
                      <w:r w:rsidR="007A20B0">
                        <w:rPr>
                          <w:b/>
                          <w:bCs/>
                          <w:noProof/>
                          <w:sz w:val="16"/>
                          <w:szCs w:val="16"/>
                        </w:rPr>
                        <w:t>07.05.2020 07:49</w:t>
                      </w:r>
                      <w:r w:rsidRPr="000A32C9">
                        <w:rPr>
                          <w:b/>
                          <w:bCs/>
                          <w:sz w:val="16"/>
                          <w:szCs w:val="16"/>
                        </w:rPr>
                        <w:fldChar w:fldCharType="end"/>
                      </w:r>
                    </w:p>
                    <w:p w14:paraId="1CE76B57" w14:textId="11B428FE" w:rsidR="00D73C2C" w:rsidRPr="0074025D" w:rsidRDefault="00D73C2C" w:rsidP="000A32C9">
                      <w:pPr>
                        <w:spacing w:line="240" w:lineRule="auto"/>
                        <w:rPr>
                          <w:sz w:val="16"/>
                          <w:szCs w:val="16"/>
                        </w:rPr>
                      </w:pPr>
                      <w:r>
                        <w:rPr>
                          <w:sz w:val="16"/>
                          <w:szCs w:val="16"/>
                        </w:rPr>
                        <w:t xml:space="preserve">Author:  </w:t>
                      </w:r>
                      <w:proofErr w:type="spellStart"/>
                      <w:r>
                        <w:rPr>
                          <w:sz w:val="16"/>
                          <w:szCs w:val="16"/>
                        </w:rPr>
                        <w:t>HSc</w:t>
                      </w:r>
                      <w:proofErr w:type="spellEnd"/>
                      <w:r>
                        <w:rPr>
                          <w:sz w:val="16"/>
                          <w:szCs w:val="16"/>
                        </w:rPr>
                        <w:br/>
                        <w:t>VC:  done</w:t>
                      </w:r>
                      <w:r>
                        <w:rPr>
                          <w:sz w:val="16"/>
                          <w:szCs w:val="16"/>
                        </w:rPr>
                        <w:br/>
                        <w:t xml:space="preserve">BW/CS:  </w:t>
                      </w:r>
                      <w:proofErr w:type="gramStart"/>
                      <w:r>
                        <w:rPr>
                          <w:sz w:val="16"/>
                          <w:szCs w:val="16"/>
                        </w:rPr>
                        <w:t>done  /</w:t>
                      </w:r>
                      <w:proofErr w:type="gramEnd"/>
                      <w:r>
                        <w:rPr>
                          <w:sz w:val="16"/>
                          <w:szCs w:val="16"/>
                        </w:rPr>
                        <w:t xml:space="preserve">  Sr:  </w:t>
                      </w:r>
                      <w:r>
                        <w:rPr>
                          <w:sz w:val="16"/>
                          <w:szCs w:val="16"/>
                        </w:rPr>
                        <w:br/>
                      </w:r>
                      <w:proofErr w:type="spellStart"/>
                      <w:r>
                        <w:rPr>
                          <w:sz w:val="16"/>
                          <w:szCs w:val="16"/>
                        </w:rPr>
                        <w:t>StS</w:t>
                      </w:r>
                      <w:proofErr w:type="spellEnd"/>
                      <w:r>
                        <w:rPr>
                          <w:sz w:val="16"/>
                          <w:szCs w:val="16"/>
                        </w:rPr>
                        <w:t>/HS:  done</w:t>
                      </w:r>
                      <w:r>
                        <w:rPr>
                          <w:sz w:val="16"/>
                          <w:szCs w:val="16"/>
                        </w:rPr>
                        <w:br/>
                        <w:t>FG: done</w:t>
                      </w:r>
                      <w:r>
                        <w:rPr>
                          <w:sz w:val="16"/>
                          <w:szCs w:val="16"/>
                        </w:rPr>
                        <w:br/>
                        <w:t>WS:  done</w:t>
                      </w:r>
                      <w:r>
                        <w:rPr>
                          <w:sz w:val="16"/>
                          <w:szCs w:val="16"/>
                        </w:rPr>
                        <w:br/>
                        <w:t>ED:</w:t>
                      </w:r>
                      <w:r>
                        <w:rPr>
                          <w:sz w:val="16"/>
                          <w:szCs w:val="16"/>
                        </w:rPr>
                        <w:br/>
                      </w:r>
                      <w:r>
                        <w:rPr>
                          <w:sz w:val="16"/>
                          <w:szCs w:val="16"/>
                        </w:rPr>
                        <w:br/>
                        <w:t>Figure check – Controlling:</w:t>
                      </w:r>
                      <w:r>
                        <w:rPr>
                          <w:sz w:val="16"/>
                          <w:szCs w:val="16"/>
                        </w:rPr>
                        <w:br/>
                        <w:t>Final proofread:</w:t>
                      </w:r>
                    </w:p>
                  </w:txbxContent>
                </v:textbox>
              </v:shape>
            </w:pict>
          </mc:Fallback>
        </mc:AlternateContent>
      </w:r>
      <w:r w:rsidRPr="00B74E3F">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4A4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B74E3F">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30A9"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B74E3F">
        <w:t>First Quarter of 2020: Continental Increases Cost Discipline</w:t>
      </w:r>
    </w:p>
    <w:p w14:paraId="26028FE2" w14:textId="2F0648ED" w:rsidR="00A311B4" w:rsidRPr="00B74E3F" w:rsidRDefault="00B323F7" w:rsidP="00F57263">
      <w:pPr>
        <w:pStyle w:val="02-Bullet"/>
      </w:pPr>
      <w:r w:rsidRPr="00B74E3F">
        <w:t>Consolidated sales in the first quarter of €9.8 billion; adjusted EBIT margin of 4.4 percent; organic sales decline of 10.9 percent</w:t>
      </w:r>
    </w:p>
    <w:p w14:paraId="0165C653" w14:textId="77179E30" w:rsidR="003A595D" w:rsidRPr="00B74E3F" w:rsidRDefault="003A595D" w:rsidP="00F57263">
      <w:pPr>
        <w:pStyle w:val="02-Bullet"/>
      </w:pPr>
      <w:r w:rsidRPr="00B74E3F">
        <w:t>High liquidity (€6.8 billion) and slightly positive free cash flow before acquisitions and carve-out effects (€59 million) after three months</w:t>
      </w:r>
    </w:p>
    <w:p w14:paraId="411C21F3" w14:textId="6050D9A2" w:rsidR="005B218E" w:rsidRPr="00B74E3F" w:rsidRDefault="005B218E" w:rsidP="005B218E">
      <w:pPr>
        <w:pStyle w:val="02-Bullet"/>
      </w:pPr>
      <w:r w:rsidRPr="00B74E3F">
        <w:t>CEO Dr. Elmar Degenhart: “We will feel the financial impact of the coronavirus pandemic even more strongly in the second quarter.”</w:t>
      </w:r>
    </w:p>
    <w:p w14:paraId="26639F79" w14:textId="705D5F07" w:rsidR="00CF73DC" w:rsidRPr="00B74E3F" w:rsidRDefault="004E3C30" w:rsidP="001B6B3B">
      <w:pPr>
        <w:pStyle w:val="02-Bullet"/>
      </w:pPr>
      <w:r w:rsidRPr="00B74E3F">
        <w:t>In view of the current market situation, the company is striving to reduce investments by at least 20 percent in the current fiscal year</w:t>
      </w:r>
    </w:p>
    <w:p w14:paraId="52FD36F5" w14:textId="28678F23" w:rsidR="00F57263" w:rsidRPr="00B74E3F" w:rsidRDefault="00312CB9" w:rsidP="00F57263">
      <w:pPr>
        <w:pStyle w:val="02-Bullet"/>
      </w:pPr>
      <w:r w:rsidRPr="00B74E3F">
        <w:t>Continental expects sales and earnings in 2020 to be significantly below previous year’s figures</w:t>
      </w:r>
    </w:p>
    <w:p w14:paraId="134E6C6C" w14:textId="601C9EC2" w:rsidR="00545892" w:rsidRPr="00B74E3F" w:rsidRDefault="00545892" w:rsidP="00545892">
      <w:pPr>
        <w:pStyle w:val="02-Bullet"/>
      </w:pPr>
      <w:r w:rsidRPr="00B74E3F">
        <w:t>Executive Board forgoes 10 percent of its fixed income for another three months (until end of July)</w:t>
      </w:r>
    </w:p>
    <w:p w14:paraId="217BBB16" w14:textId="293BE1C6" w:rsidR="0076579A" w:rsidRPr="00B74E3F" w:rsidRDefault="00BB7039" w:rsidP="001B6B3B">
      <w:pPr>
        <w:pStyle w:val="02-Bullet"/>
      </w:pPr>
      <w:r w:rsidRPr="00B74E3F">
        <w:t xml:space="preserve">Ramp-up: </w:t>
      </w:r>
      <w:r w:rsidR="00596C22">
        <w:t>P</w:t>
      </w:r>
      <w:r w:rsidRPr="00B74E3F">
        <w:t>roduction still halted temporarily at about one-fifth of all locations</w:t>
      </w:r>
    </w:p>
    <w:p w14:paraId="3922E9C6" w14:textId="323BD473" w:rsidR="004D3DBC" w:rsidRPr="00B74E3F" w:rsidRDefault="00105D8C" w:rsidP="00DD00C8">
      <w:pPr>
        <w:pStyle w:val="02-Bullet"/>
      </w:pPr>
      <w:r w:rsidRPr="00B74E3F">
        <w:t>Global protective strategy established to ensure safe production during a pandemic; in-house production of masks planned</w:t>
      </w:r>
    </w:p>
    <w:p w14:paraId="5A7D8282" w14:textId="24CF9A49" w:rsidR="004D3DBC" w:rsidRPr="00B74E3F" w:rsidRDefault="008A248B" w:rsidP="00AE0435">
      <w:pPr>
        <w:pStyle w:val="03-Text"/>
        <w:rPr>
          <w:szCs w:val="22"/>
        </w:rPr>
      </w:pPr>
      <w:r w:rsidRPr="00B74E3F">
        <w:t xml:space="preserve">Hanover, May 7, 2020. Continental’s sales and profits declined significantly in the first quarter. The primary reason for this was the production stop in China due to the coronavirus and the resulting impact. In the reporting period, the production of passenger cars and light commercial vehicles in China was down year-on-year by about </w:t>
      </w:r>
      <w:r w:rsidRPr="00B74E3F">
        <w:rPr>
          <w:szCs w:val="22"/>
        </w:rPr>
        <w:t>50</w:t>
      </w:r>
      <w:r w:rsidRPr="00B74E3F">
        <w:t xml:space="preserve"> percent according to current estimates. Markets in Europe (about -</w:t>
      </w:r>
      <w:r w:rsidRPr="00B74E3F">
        <w:rPr>
          <w:szCs w:val="22"/>
        </w:rPr>
        <w:t>20</w:t>
      </w:r>
      <w:r w:rsidRPr="00B74E3F">
        <w:t xml:space="preserve"> percent) and North America (about -</w:t>
      </w:r>
      <w:r w:rsidRPr="00B74E3F">
        <w:rPr>
          <w:szCs w:val="22"/>
        </w:rPr>
        <w:t xml:space="preserve">10 </w:t>
      </w:r>
      <w:proofErr w:type="gramStart"/>
      <w:r w:rsidRPr="00B74E3F">
        <w:rPr>
          <w:szCs w:val="22"/>
        </w:rPr>
        <w:t xml:space="preserve">percent </w:t>
      </w:r>
      <w:r w:rsidRPr="00B74E3F">
        <w:t>)</w:t>
      </w:r>
      <w:proofErr w:type="gramEnd"/>
      <w:r w:rsidRPr="00B74E3F">
        <w:t xml:space="preserve"> were also weak. At </w:t>
      </w:r>
      <w:r w:rsidRPr="00B74E3F">
        <w:rPr>
          <w:szCs w:val="22"/>
        </w:rPr>
        <w:t>17.3</w:t>
      </w:r>
      <w:r w:rsidR="008F08E6">
        <w:rPr>
          <w:szCs w:val="22"/>
        </w:rPr>
        <w:t> </w:t>
      </w:r>
      <w:r w:rsidRPr="00B74E3F">
        <w:rPr>
          <w:szCs w:val="22"/>
        </w:rPr>
        <w:t>million</w:t>
      </w:r>
      <w:r w:rsidR="008F08E6">
        <w:rPr>
          <w:szCs w:val="22"/>
        </w:rPr>
        <w:t> </w:t>
      </w:r>
      <w:r w:rsidRPr="00B74E3F">
        <w:t xml:space="preserve">vehicles, global automotive production was down about </w:t>
      </w:r>
      <w:r w:rsidRPr="00B74E3F">
        <w:rPr>
          <w:szCs w:val="22"/>
        </w:rPr>
        <w:t>25</w:t>
      </w:r>
      <w:r w:rsidRPr="00B74E3F">
        <w:t xml:space="preserve"> percent in the reporting period. In absolute figures, the global decline corresponds to </w:t>
      </w:r>
      <w:r w:rsidRPr="00B74E3F">
        <w:rPr>
          <w:szCs w:val="22"/>
        </w:rPr>
        <w:t>about 5.7</w:t>
      </w:r>
      <w:r w:rsidRPr="00B74E3F">
        <w:t xml:space="preserve"> million fewer vehicles produced in comparison to the previous year.</w:t>
      </w:r>
    </w:p>
    <w:p w14:paraId="70E0CA05" w14:textId="4133E0EE" w:rsidR="006953B4" w:rsidRPr="00B74E3F" w:rsidRDefault="004D3DBC" w:rsidP="00AE0435">
      <w:pPr>
        <w:pStyle w:val="03-Text"/>
        <w:rPr>
          <w:szCs w:val="22"/>
        </w:rPr>
      </w:pPr>
      <w:r w:rsidRPr="00B74E3F">
        <w:t xml:space="preserve">As the technology company announced when it presented its key figures for the first quarter on April 27, 2020, </w:t>
      </w:r>
      <w:r w:rsidRPr="00B74E3F">
        <w:rPr>
          <w:b/>
          <w:bCs/>
          <w:szCs w:val="22"/>
        </w:rPr>
        <w:t>sales</w:t>
      </w:r>
      <w:r w:rsidRPr="00B74E3F">
        <w:t xml:space="preserve"> amounted to </w:t>
      </w:r>
      <w:r w:rsidRPr="00B74E3F">
        <w:rPr>
          <w:szCs w:val="22"/>
        </w:rPr>
        <w:t>€9.8</w:t>
      </w:r>
      <w:r w:rsidRPr="00B74E3F">
        <w:t xml:space="preserve"> billion (Q1 2019: </w:t>
      </w:r>
      <w:r w:rsidRPr="00B74E3F">
        <w:rPr>
          <w:szCs w:val="22"/>
        </w:rPr>
        <w:t>€11</w:t>
      </w:r>
      <w:r w:rsidRPr="00B74E3F">
        <w:t xml:space="preserve"> billion), or </w:t>
      </w:r>
      <w:r w:rsidRPr="00B74E3F">
        <w:rPr>
          <w:szCs w:val="22"/>
        </w:rPr>
        <w:t>10.9</w:t>
      </w:r>
      <w:r w:rsidRPr="00B74E3F">
        <w:t xml:space="preserve"> percent lower than in the previous year. In organic terms – before changes in the scope of consolidation and exchange-rate effects – sales also decreased by </w:t>
      </w:r>
      <w:r w:rsidRPr="00B74E3F">
        <w:rPr>
          <w:szCs w:val="22"/>
        </w:rPr>
        <w:t>10.9</w:t>
      </w:r>
      <w:r w:rsidRPr="00B74E3F">
        <w:t xml:space="preserve"> percent. </w:t>
      </w:r>
      <w:r w:rsidRPr="00B74E3F">
        <w:rPr>
          <w:b/>
          <w:bCs/>
          <w:szCs w:val="22"/>
        </w:rPr>
        <w:t>Adjusted EBIT</w:t>
      </w:r>
      <w:r w:rsidRPr="00B74E3F">
        <w:t xml:space="preserve"> fell to </w:t>
      </w:r>
      <w:r w:rsidRPr="00B74E3F">
        <w:rPr>
          <w:szCs w:val="22"/>
        </w:rPr>
        <w:t>€432</w:t>
      </w:r>
      <w:r w:rsidRPr="00B74E3F">
        <w:t xml:space="preserve"> million (Q1 2019: </w:t>
      </w:r>
      <w:r w:rsidRPr="00B74E3F">
        <w:rPr>
          <w:szCs w:val="22"/>
        </w:rPr>
        <w:t>€884</w:t>
      </w:r>
      <w:r w:rsidRPr="00B74E3F">
        <w:t xml:space="preserve"> million) and was thus about half as high as in the same period of the previous year. The adjusted EBIT margin was </w:t>
      </w:r>
      <w:r w:rsidRPr="00B74E3F">
        <w:rPr>
          <w:szCs w:val="22"/>
        </w:rPr>
        <w:t>4.4</w:t>
      </w:r>
      <w:r w:rsidRPr="00B74E3F">
        <w:t xml:space="preserve"> percent (Q1 2019: </w:t>
      </w:r>
      <w:r w:rsidRPr="00B74E3F">
        <w:rPr>
          <w:szCs w:val="22"/>
        </w:rPr>
        <w:t>8.1</w:t>
      </w:r>
      <w:r w:rsidRPr="00B74E3F">
        <w:t xml:space="preserve"> percent).</w:t>
      </w:r>
    </w:p>
    <w:p w14:paraId="2C3C891E" w14:textId="7F1ED9EB" w:rsidR="00A2030B" w:rsidRPr="00B74E3F" w:rsidRDefault="00A2030B" w:rsidP="00AE0435">
      <w:pPr>
        <w:pStyle w:val="03-Text"/>
        <w:rPr>
          <w:szCs w:val="22"/>
        </w:rPr>
      </w:pPr>
      <w:r w:rsidRPr="00B74E3F">
        <w:lastRenderedPageBreak/>
        <w:t xml:space="preserve">The </w:t>
      </w:r>
      <w:r w:rsidRPr="00B74E3F">
        <w:rPr>
          <w:b/>
          <w:bCs/>
          <w:szCs w:val="22"/>
        </w:rPr>
        <w:t>second quarter</w:t>
      </w:r>
      <w:r w:rsidRPr="00B74E3F">
        <w:t xml:space="preserve"> is expected to be the weakest quarter of the current fiscal year for Continental with regards to sales and earnings, as this is when the </w:t>
      </w:r>
      <w:bookmarkStart w:id="1" w:name="_Hlk39481716"/>
      <w:r w:rsidRPr="00B74E3F">
        <w:t>impact of the coronavirus pandemic</w:t>
      </w:r>
      <w:bookmarkEnd w:id="1"/>
      <w:r w:rsidRPr="00B74E3F">
        <w:t xml:space="preserve"> will </w:t>
      </w:r>
      <w:bookmarkStart w:id="2" w:name="_Hlk39481689"/>
      <w:r w:rsidRPr="00B74E3F">
        <w:t>really be felt in Europe and America</w:t>
      </w:r>
      <w:bookmarkEnd w:id="2"/>
      <w:r w:rsidRPr="00B74E3F">
        <w:t xml:space="preserve">. “We will feel the financial impact of the coronavirus pandemic even more strongly in the second quarter. Usually, we generate three-quarters of our sales in Europe and North America. But both regions have been hit hard by the effects of the coronavirus pandemic since the end of March, while automotive production in China is stabilizing again,” said Continental’s CEO Dr. Elmar Degenhart. In view of the current distribution, he underscored Continental’s intention to further balance out its revenues and to increase the proportion of its consolidated sales generated in Asia to </w:t>
      </w:r>
      <w:r w:rsidRPr="00B74E3F">
        <w:rPr>
          <w:szCs w:val="22"/>
        </w:rPr>
        <w:t>30 percent</w:t>
      </w:r>
      <w:r w:rsidRPr="00B74E3F">
        <w:t xml:space="preserve"> in the medium term.</w:t>
      </w:r>
    </w:p>
    <w:p w14:paraId="252A64BE" w14:textId="63902B8B" w:rsidR="00A2030B" w:rsidRPr="00B74E3F" w:rsidRDefault="00A2030B" w:rsidP="00AE0435">
      <w:pPr>
        <w:pStyle w:val="03-Text"/>
        <w:rPr>
          <w:szCs w:val="22"/>
        </w:rPr>
      </w:pPr>
      <w:r w:rsidRPr="00B74E3F">
        <w:t xml:space="preserve">As Continental announced at the end of April, the timing for a more detailed </w:t>
      </w:r>
      <w:r w:rsidRPr="00B74E3F">
        <w:rPr>
          <w:b/>
          <w:bCs/>
          <w:szCs w:val="22"/>
        </w:rPr>
        <w:t>outlook for 2020</w:t>
      </w:r>
      <w:r w:rsidRPr="00B74E3F">
        <w:t xml:space="preserve"> currently cannot be determined since the situation remains very dynamic. For the </w:t>
      </w:r>
      <w:proofErr w:type="gramStart"/>
      <w:r w:rsidRPr="00B74E3F">
        <w:t>year as a whole, however</w:t>
      </w:r>
      <w:proofErr w:type="gramEnd"/>
      <w:r w:rsidRPr="00B74E3F">
        <w:t>, the DAX company is expecting sales and earnings to fall significantly short of the previous year’s figures.</w:t>
      </w:r>
    </w:p>
    <w:p w14:paraId="61C62B3D" w14:textId="259C93AB" w:rsidR="00A62C50" w:rsidRPr="00B74E3F" w:rsidRDefault="00A62C50" w:rsidP="00A62C50">
      <w:pPr>
        <w:pStyle w:val="04-Subhead"/>
        <w:rPr>
          <w:szCs w:val="22"/>
        </w:rPr>
      </w:pPr>
      <w:r w:rsidRPr="00B74E3F">
        <w:t>Cost discipline further intensified; positive free cash flow</w:t>
      </w:r>
    </w:p>
    <w:p w14:paraId="0A75A2FF" w14:textId="53240A20" w:rsidR="00A62C50" w:rsidRPr="00B74E3F" w:rsidRDefault="00A62C50" w:rsidP="00A62C50">
      <w:pPr>
        <w:pStyle w:val="03-Text"/>
        <w:rPr>
          <w:rFonts w:cs="Arial"/>
          <w:color w:val="000000"/>
          <w:szCs w:val="22"/>
          <w:shd w:val="clear" w:color="auto" w:fill="FFFFFF"/>
        </w:rPr>
      </w:pPr>
      <w:r w:rsidRPr="00B74E3F">
        <w:rPr>
          <w:color w:val="000000"/>
          <w:szCs w:val="22"/>
          <w:shd w:val="clear" w:color="auto" w:fill="FFFFFF"/>
        </w:rPr>
        <w:t>Continental further intensified its cost discipline in the first quarter. Projects and investments that are not urgently required have been postponed until further notice. For the current fiscal year, the company is striving to reduce its investments by at least 20 percent compared to the previous year. “The economic environment has again deteriorated substantially since the beginning of March as a result of the coronavirus pandemic, which has meant that we have intensified cost-cutting even further. We are scrutinizing the necessity of all expenditures and investments at present and looking for savings that will prove effective in the short term. This will be reflected to a greater extent in our figures from the second quarter onward. We are continuing to push ahead at full steam with key development projects as well as preparations for upcoming production start-ups,” explained Continental CFO Wolfgang Schäfer.</w:t>
      </w:r>
    </w:p>
    <w:p w14:paraId="23D051D9" w14:textId="2EDC94BA" w:rsidR="007472CE" w:rsidRPr="00B74E3F" w:rsidRDefault="007472CE" w:rsidP="00376AD4">
      <w:pPr>
        <w:pStyle w:val="03-Text"/>
        <w:rPr>
          <w:szCs w:val="22"/>
        </w:rPr>
      </w:pPr>
      <w:r w:rsidRPr="00B74E3F">
        <w:t xml:space="preserve">In the reporting period, </w:t>
      </w:r>
      <w:r w:rsidRPr="00B74E3F">
        <w:rPr>
          <w:b/>
          <w:bCs/>
          <w:szCs w:val="22"/>
        </w:rPr>
        <w:t>capital expenditure</w:t>
      </w:r>
      <w:r w:rsidRPr="00B74E3F">
        <w:t xml:space="preserve"> on property, plant and equipment, and software was down by </w:t>
      </w:r>
      <w:r w:rsidRPr="00B74E3F">
        <w:rPr>
          <w:szCs w:val="22"/>
        </w:rPr>
        <w:t>€167</w:t>
      </w:r>
      <w:r w:rsidRPr="00B74E3F">
        <w:t xml:space="preserve"> million at </w:t>
      </w:r>
      <w:r w:rsidRPr="00B74E3F">
        <w:rPr>
          <w:szCs w:val="22"/>
        </w:rPr>
        <w:t>€475 </w:t>
      </w:r>
      <w:r w:rsidRPr="00B74E3F">
        <w:t xml:space="preserve">million. The capital expenditure ratio was </w:t>
      </w:r>
      <w:r w:rsidRPr="00B74E3F">
        <w:rPr>
          <w:szCs w:val="22"/>
        </w:rPr>
        <w:t>4.8</w:t>
      </w:r>
      <w:r w:rsidRPr="00B74E3F">
        <w:t xml:space="preserve"> percent (Q1 2019: </w:t>
      </w:r>
      <w:r w:rsidRPr="00B74E3F">
        <w:rPr>
          <w:szCs w:val="22"/>
        </w:rPr>
        <w:t>5.8</w:t>
      </w:r>
      <w:r w:rsidR="008F08E6">
        <w:rPr>
          <w:szCs w:val="22"/>
        </w:rPr>
        <w:t> </w:t>
      </w:r>
      <w:r w:rsidRPr="00B74E3F">
        <w:t>percent).</w:t>
      </w:r>
    </w:p>
    <w:p w14:paraId="159AC05C" w14:textId="33CB19B4" w:rsidR="00131365" w:rsidRPr="00B74E3F" w:rsidRDefault="002C6F18">
      <w:pPr>
        <w:pStyle w:val="03-Text"/>
        <w:rPr>
          <w:rFonts w:cs="Arial"/>
          <w:color w:val="000000"/>
          <w:szCs w:val="22"/>
          <w:shd w:val="clear" w:color="auto" w:fill="FFFFFF"/>
        </w:rPr>
      </w:pPr>
      <w:r w:rsidRPr="00B74E3F">
        <w:lastRenderedPageBreak/>
        <w:t xml:space="preserve">The effectiveness of our cost management was already reflected in the </w:t>
      </w:r>
      <w:r w:rsidRPr="00B74E3F">
        <w:rPr>
          <w:b/>
          <w:bCs/>
        </w:rPr>
        <w:t>free cash flow</w:t>
      </w:r>
      <w:r w:rsidRPr="00B74E3F">
        <w:t xml:space="preserve"> before acquisitions and carve-out effects: at </w:t>
      </w:r>
      <w:r w:rsidRPr="00B74E3F">
        <w:rPr>
          <w:szCs w:val="22"/>
        </w:rPr>
        <w:t>€59</w:t>
      </w:r>
      <w:r w:rsidRPr="00B74E3F">
        <w:t> million in the first quarter, it substantially exceeded the previous year’s figure (</w:t>
      </w:r>
      <w:r w:rsidRPr="00B74E3F">
        <w:rPr>
          <w:szCs w:val="22"/>
        </w:rPr>
        <w:t>-€580</w:t>
      </w:r>
      <w:r w:rsidRPr="00B74E3F">
        <w:t xml:space="preserve"> million). </w:t>
      </w:r>
      <w:r w:rsidRPr="00B74E3F">
        <w:rPr>
          <w:color w:val="000000"/>
          <w:szCs w:val="22"/>
          <w:shd w:val="clear" w:color="auto" w:fill="FFFFFF"/>
        </w:rPr>
        <w:t>“We achieved a positive free cash flow in the first quarter, which serves as proof of our fast and effective crisis management. Due to seasonal effects, free cash flow is usually negative in the first quarter,” Schäfer said.</w:t>
      </w:r>
      <w:r w:rsidR="00B74E3F">
        <w:rPr>
          <w:color w:val="000000"/>
          <w:szCs w:val="22"/>
          <w:shd w:val="clear" w:color="auto" w:fill="FFFFFF"/>
        </w:rPr>
        <w:t xml:space="preserve"> </w:t>
      </w:r>
      <w:r w:rsidRPr="00B74E3F">
        <w:rPr>
          <w:color w:val="000000"/>
          <w:szCs w:val="22"/>
          <w:shd w:val="clear" w:color="auto" w:fill="FFFFFF"/>
        </w:rPr>
        <w:t xml:space="preserve">The improvement was primarily due to a lower level of cash outflow for working capital, a reduced level of investments and the cash inflow from the sale of the 50-percent stake in SAS </w:t>
      </w:r>
      <w:proofErr w:type="spellStart"/>
      <w:r w:rsidRPr="00B74E3F">
        <w:rPr>
          <w:color w:val="000000"/>
          <w:szCs w:val="22"/>
          <w:shd w:val="clear" w:color="auto" w:fill="FFFFFF"/>
        </w:rPr>
        <w:t>Autosystemtechnik</w:t>
      </w:r>
      <w:proofErr w:type="spellEnd"/>
      <w:r w:rsidRPr="00B74E3F">
        <w:rPr>
          <w:color w:val="000000"/>
          <w:szCs w:val="22"/>
          <w:shd w:val="clear" w:color="auto" w:fill="FFFFFF"/>
        </w:rPr>
        <w:t xml:space="preserve"> GmbH.</w:t>
      </w:r>
    </w:p>
    <w:p w14:paraId="3D28284C" w14:textId="7A104709" w:rsidR="004D570A" w:rsidRPr="00B74E3F" w:rsidRDefault="00A62C50">
      <w:pPr>
        <w:pStyle w:val="03-Text"/>
        <w:rPr>
          <w:szCs w:val="22"/>
        </w:rPr>
      </w:pPr>
      <w:r w:rsidRPr="00B74E3F">
        <w:t xml:space="preserve">Capital expenditure on </w:t>
      </w:r>
      <w:r w:rsidRPr="00B74E3F">
        <w:rPr>
          <w:b/>
          <w:bCs/>
          <w:szCs w:val="22"/>
        </w:rPr>
        <w:t>research and development</w:t>
      </w:r>
      <w:r w:rsidRPr="00B74E3F">
        <w:t xml:space="preserve"> in the first quarter amounted to </w:t>
      </w:r>
      <w:r w:rsidRPr="00B74E3F">
        <w:rPr>
          <w:szCs w:val="22"/>
        </w:rPr>
        <w:t>€913</w:t>
      </w:r>
      <w:r w:rsidRPr="00B74E3F">
        <w:t xml:space="preserve"> million. In relation to consolidated sales, the ratio was </w:t>
      </w:r>
      <w:r w:rsidRPr="00B74E3F">
        <w:rPr>
          <w:szCs w:val="22"/>
        </w:rPr>
        <w:t>9.3</w:t>
      </w:r>
      <w:r w:rsidRPr="00B74E3F">
        <w:t xml:space="preserve"> percent. In the same period of the previous year, it was </w:t>
      </w:r>
      <w:r w:rsidRPr="00B74E3F">
        <w:rPr>
          <w:szCs w:val="22"/>
        </w:rPr>
        <w:t>8.2</w:t>
      </w:r>
      <w:r w:rsidRPr="00B74E3F">
        <w:t xml:space="preserve"> percent. The increase is primarily attributable to the lower sales in the first quarter of 2020 as a result of the coronavirus pandemic.</w:t>
      </w:r>
    </w:p>
    <w:p w14:paraId="33A00B48" w14:textId="2DD3D220" w:rsidR="00BA47C0" w:rsidRPr="00B74E3F" w:rsidRDefault="006C26E8" w:rsidP="00AE0435">
      <w:pPr>
        <w:pStyle w:val="04-Subhead"/>
        <w:rPr>
          <w:szCs w:val="22"/>
        </w:rPr>
      </w:pPr>
      <w:r w:rsidRPr="00B74E3F">
        <w:t>Continuing high liquidity after conclusion of the first quarter</w:t>
      </w:r>
    </w:p>
    <w:p w14:paraId="17718B7A" w14:textId="3252C20B" w:rsidR="001E5172" w:rsidRPr="00B74E3F" w:rsidRDefault="006101F4" w:rsidP="002C4773">
      <w:pPr>
        <w:pStyle w:val="03-Text"/>
        <w:rPr>
          <w:szCs w:val="22"/>
        </w:rPr>
      </w:pPr>
      <w:r w:rsidRPr="00B74E3F">
        <w:t xml:space="preserve">As at March 31, 2020, Continental had cash and cash equivalents of </w:t>
      </w:r>
      <w:r w:rsidRPr="00B74E3F">
        <w:rPr>
          <w:szCs w:val="22"/>
        </w:rPr>
        <w:t>€2.5 billion</w:t>
      </w:r>
      <w:r w:rsidRPr="00B74E3F">
        <w:t xml:space="preserve"> and committed unused credit lines of </w:t>
      </w:r>
      <w:r w:rsidRPr="00B74E3F">
        <w:rPr>
          <w:szCs w:val="22"/>
        </w:rPr>
        <w:t>€4.3 billion</w:t>
      </w:r>
      <w:r w:rsidRPr="00B74E3F">
        <w:t xml:space="preserve">. “With </w:t>
      </w:r>
      <w:r w:rsidRPr="00B74E3F">
        <w:rPr>
          <w:b/>
          <w:bCs/>
          <w:szCs w:val="22"/>
        </w:rPr>
        <w:t>liquidity</w:t>
      </w:r>
      <w:r w:rsidRPr="00B74E3F">
        <w:t xml:space="preserve"> of </w:t>
      </w:r>
      <w:r w:rsidRPr="00B74E3F">
        <w:rPr>
          <w:szCs w:val="22"/>
        </w:rPr>
        <w:t>€6.8</w:t>
      </w:r>
      <w:r w:rsidRPr="00B74E3F">
        <w:t> billion, Continental has a very strong balance sheet. We have a firm basis, are independent and can function effectively despite the challenging situation worldwide,” Degenhart emphasized.</w:t>
      </w:r>
    </w:p>
    <w:p w14:paraId="7170CD8C" w14:textId="77777777" w:rsidR="002C4773" w:rsidRPr="00B74E3F" w:rsidRDefault="002C4773" w:rsidP="002C4773">
      <w:pPr>
        <w:pStyle w:val="04-Subhead"/>
        <w:rPr>
          <w:szCs w:val="22"/>
        </w:rPr>
      </w:pPr>
      <w:r w:rsidRPr="00B74E3F">
        <w:t>Consistent continuation of Transformation 2019–2029 structural program</w:t>
      </w:r>
    </w:p>
    <w:p w14:paraId="0F8A72B7" w14:textId="77777777" w:rsidR="002C4773" w:rsidRPr="00B74E3F" w:rsidRDefault="002C4773" w:rsidP="002C4773">
      <w:pPr>
        <w:pStyle w:val="03-Text"/>
        <w:rPr>
          <w:szCs w:val="22"/>
        </w:rPr>
      </w:pPr>
      <w:r w:rsidRPr="00B74E3F">
        <w:t>Irrespective of the current market situation, Continental is continuing to consistently pursue and implement its Transformation 2019–2029 structural program. “</w:t>
      </w:r>
      <w:r w:rsidRPr="00B74E3F">
        <w:rPr>
          <w:color w:val="000000"/>
          <w:szCs w:val="22"/>
          <w:shd w:val="clear" w:color="auto" w:fill="FFFFFF"/>
        </w:rPr>
        <w:t xml:space="preserve">With our structural program, we are strengthening our competitiveness and viability in the long term. These are sustainable savings that will prove effective in the medium and long term,” said Degenhart. </w:t>
      </w:r>
      <w:r w:rsidRPr="00B74E3F">
        <w:t>As announced at the beginning of March, further measures are currently being assessed in view of the growing deterioration of the markets, which could continue in the medium term. Continental will provide additional information in due course.</w:t>
      </w:r>
    </w:p>
    <w:p w14:paraId="52EE1069" w14:textId="1076093C" w:rsidR="00B1655B" w:rsidRPr="00B74E3F" w:rsidRDefault="003A595D" w:rsidP="00096181">
      <w:pPr>
        <w:pStyle w:val="04-Subhead"/>
        <w:rPr>
          <w:rFonts w:cs="Arial"/>
          <w:szCs w:val="22"/>
        </w:rPr>
      </w:pPr>
      <w:r w:rsidRPr="00B74E3F">
        <w:lastRenderedPageBreak/>
        <w:t>Key figures for the Continental Group</w:t>
      </w:r>
    </w:p>
    <w:tbl>
      <w:tblPr>
        <w:tblOverlap w:val="never"/>
        <w:tblW w:w="9466" w:type="dxa"/>
        <w:tblLayout w:type="fixed"/>
        <w:tblCellMar>
          <w:left w:w="0" w:type="dxa"/>
          <w:right w:w="0" w:type="dxa"/>
        </w:tblCellMar>
        <w:tblLook w:val="04A0" w:firstRow="1" w:lastRow="0" w:firstColumn="1" w:lastColumn="0" w:noHBand="0" w:noVBand="1"/>
        <w:tblDescription w:val="_FLink_1T_f7SJdSfnÄwKCFkbHa2_1&#10;_FLink_1T_oUoxyW3VülZNÄDMcuk_1"/>
      </w:tblPr>
      <w:tblGrid>
        <w:gridCol w:w="5812"/>
        <w:gridCol w:w="1218"/>
        <w:gridCol w:w="58"/>
        <w:gridCol w:w="1160"/>
        <w:gridCol w:w="116"/>
        <w:gridCol w:w="1102"/>
      </w:tblGrid>
      <w:tr w:rsidR="00DE3FFE" w:rsidRPr="00B74E3F" w14:paraId="5F69E4AB" w14:textId="1BAF8290" w:rsidTr="00BB29F3">
        <w:trPr>
          <w:trHeight w:val="361"/>
        </w:trPr>
        <w:tc>
          <w:tcPr>
            <w:tcW w:w="5812" w:type="dxa"/>
            <w:tcBorders>
              <w:top w:val="single" w:sz="6" w:space="0" w:color="000000"/>
              <w:left w:val="none" w:sz="0" w:space="0" w:color="000000"/>
              <w:bottom w:val="none" w:sz="0" w:space="0" w:color="000000"/>
              <w:right w:val="none" w:sz="0" w:space="0" w:color="000000"/>
            </w:tcBorders>
            <w:shd w:val="clear" w:color="auto" w:fill="FFFFFF"/>
            <w:vAlign w:val="bottom"/>
          </w:tcPr>
          <w:p w14:paraId="11F87F63" w14:textId="77777777" w:rsidR="00DE3FFE" w:rsidRPr="00B74E3F" w:rsidRDefault="00DE3FFE" w:rsidP="00725F48">
            <w:pPr>
              <w:pStyle w:val="THeadfirstText"/>
              <w:rPr>
                <w:rFonts w:ascii="Arial" w:hAnsi="Arial" w:cs="Arial"/>
              </w:rPr>
            </w:pPr>
            <w:bookmarkStart w:id="3" w:name="_FLink_1T_f7SJdSfnÄwKCFkbHa2_1"/>
            <w:bookmarkStart w:id="4" w:name="_FLink_1T_oUoxyW3VülZNÄDMcuk_1"/>
            <w:r w:rsidRPr="00B74E3F">
              <w:rPr>
                <w:rFonts w:ascii="Arial" w:hAnsi="Arial"/>
              </w:rPr>
              <w:t> </w:t>
            </w:r>
          </w:p>
        </w:tc>
        <w:tc>
          <w:tcPr>
            <w:tcW w:w="3654" w:type="dxa"/>
            <w:gridSpan w:val="5"/>
            <w:tcBorders>
              <w:top w:val="single" w:sz="6" w:space="0" w:color="000000"/>
              <w:left w:val="none" w:sz="0" w:space="0" w:color="000000"/>
              <w:bottom w:val="single" w:sz="6" w:space="0" w:color="000000"/>
              <w:right w:val="none" w:sz="0" w:space="0" w:color="000000"/>
            </w:tcBorders>
            <w:shd w:val="clear" w:color="auto" w:fill="FFFFFF"/>
            <w:vAlign w:val="bottom"/>
          </w:tcPr>
          <w:p w14:paraId="37309BCA" w14:textId="4F5867D1" w:rsidR="00DE3FFE" w:rsidRPr="00B74E3F" w:rsidRDefault="00DE3FFE" w:rsidP="00725F48">
            <w:pPr>
              <w:pStyle w:val="THeadfirstNumber"/>
              <w:jc w:val="center"/>
              <w:rPr>
                <w:rFonts w:ascii="Arial" w:hAnsi="Arial" w:cs="Arial"/>
              </w:rPr>
            </w:pPr>
            <w:r w:rsidRPr="00B74E3F">
              <w:rPr>
                <w:rFonts w:ascii="Arial" w:hAnsi="Arial"/>
              </w:rPr>
              <w:t>January 1 to March 31</w:t>
            </w:r>
          </w:p>
        </w:tc>
      </w:tr>
      <w:tr w:rsidR="00836682" w:rsidRPr="00B74E3F" w14:paraId="085DF1F6" w14:textId="39744AE8" w:rsidTr="00BB29F3">
        <w:trPr>
          <w:trHeight w:val="247"/>
        </w:trPr>
        <w:tc>
          <w:tcPr>
            <w:tcW w:w="5812" w:type="dxa"/>
            <w:tcBorders>
              <w:top w:val="none" w:sz="0" w:space="0" w:color="000000"/>
              <w:left w:val="none" w:sz="0" w:space="0" w:color="000000"/>
              <w:bottom w:val="single" w:sz="6" w:space="0" w:color="000000"/>
              <w:right w:val="none" w:sz="0" w:space="0" w:color="000000"/>
            </w:tcBorders>
            <w:shd w:val="clear" w:color="auto" w:fill="FFFFFF"/>
            <w:vAlign w:val="bottom"/>
          </w:tcPr>
          <w:p w14:paraId="7C764E42" w14:textId="77777777" w:rsidR="00836682" w:rsidRPr="00B74E3F" w:rsidRDefault="00836682" w:rsidP="00725F48">
            <w:pPr>
              <w:pStyle w:val="THeadlastText"/>
              <w:rPr>
                <w:rFonts w:ascii="Arial" w:hAnsi="Arial" w:cs="Arial"/>
                <w:b/>
                <w:bCs/>
              </w:rPr>
            </w:pPr>
            <w:r w:rsidRPr="00B74E3F">
              <w:rPr>
                <w:rFonts w:ascii="Arial" w:hAnsi="Arial"/>
                <w:b/>
                <w:bCs/>
              </w:rPr>
              <w:t>€</w:t>
            </w:r>
            <w:r w:rsidRPr="00B74E3F">
              <w:rPr>
                <w:rFonts w:ascii="Arial" w:hAnsi="Arial"/>
                <w:b/>
                <w:bCs/>
                <w:sz w:val="8"/>
              </w:rPr>
              <w:t> </w:t>
            </w:r>
            <w:r w:rsidRPr="00B74E3F">
              <w:rPr>
                <w:rFonts w:ascii="Arial" w:hAnsi="Arial"/>
                <w:b/>
                <w:bCs/>
              </w:rPr>
              <w:t>millions</w:t>
            </w:r>
          </w:p>
        </w:tc>
        <w:tc>
          <w:tcPr>
            <w:tcW w:w="1218" w:type="dxa"/>
            <w:tcBorders>
              <w:top w:val="single" w:sz="6" w:space="0" w:color="000000"/>
              <w:left w:val="none" w:sz="0" w:space="0" w:color="000000"/>
              <w:bottom w:val="single" w:sz="6" w:space="0" w:color="000000"/>
              <w:right w:val="none" w:sz="0" w:space="0" w:color="000000"/>
            </w:tcBorders>
            <w:shd w:val="clear" w:color="auto" w:fill="FFFFFF"/>
            <w:vAlign w:val="bottom"/>
          </w:tcPr>
          <w:p w14:paraId="61A52785" w14:textId="77777777" w:rsidR="00836682" w:rsidRPr="00B74E3F" w:rsidRDefault="00836682" w:rsidP="00725F48">
            <w:pPr>
              <w:pStyle w:val="THeadlastNumber"/>
              <w:rPr>
                <w:rFonts w:ascii="Arial" w:hAnsi="Arial" w:cs="Arial"/>
              </w:rPr>
            </w:pPr>
            <w:r w:rsidRPr="00B74E3F">
              <w:rPr>
                <w:rFonts w:ascii="Arial" w:hAnsi="Arial"/>
              </w:rPr>
              <w:t>2020</w:t>
            </w:r>
          </w:p>
        </w:tc>
        <w:tc>
          <w:tcPr>
            <w:tcW w:w="1218" w:type="dxa"/>
            <w:gridSpan w:val="2"/>
            <w:tcBorders>
              <w:top w:val="single" w:sz="6" w:space="0" w:color="000000"/>
              <w:left w:val="none" w:sz="0" w:space="0" w:color="000000"/>
              <w:bottom w:val="single" w:sz="6" w:space="0" w:color="000000"/>
              <w:right w:val="none" w:sz="0" w:space="0" w:color="000000"/>
            </w:tcBorders>
            <w:shd w:val="clear" w:color="auto" w:fill="FFFFFF"/>
            <w:vAlign w:val="bottom"/>
          </w:tcPr>
          <w:p w14:paraId="17EA08BD" w14:textId="77777777" w:rsidR="00836682" w:rsidRPr="00B74E3F" w:rsidRDefault="00836682" w:rsidP="00725F48">
            <w:pPr>
              <w:pStyle w:val="THeadlastNumber"/>
              <w:rPr>
                <w:rFonts w:ascii="Arial" w:hAnsi="Arial" w:cs="Arial"/>
              </w:rPr>
            </w:pPr>
            <w:r w:rsidRPr="00B74E3F">
              <w:rPr>
                <w:rFonts w:ascii="Arial" w:hAnsi="Arial"/>
              </w:rPr>
              <w:t>2019</w:t>
            </w:r>
          </w:p>
        </w:tc>
        <w:tc>
          <w:tcPr>
            <w:tcW w:w="1218" w:type="dxa"/>
            <w:gridSpan w:val="2"/>
            <w:tcBorders>
              <w:top w:val="single" w:sz="6" w:space="0" w:color="000000"/>
              <w:left w:val="none" w:sz="0" w:space="0" w:color="000000"/>
              <w:bottom w:val="single" w:sz="6" w:space="0" w:color="000000"/>
              <w:right w:val="none" w:sz="0" w:space="0" w:color="000000"/>
            </w:tcBorders>
            <w:shd w:val="clear" w:color="auto" w:fill="FFFFFF"/>
          </w:tcPr>
          <w:p w14:paraId="3D6A77A7" w14:textId="1EE5FB03" w:rsidR="00836682" w:rsidRPr="00B74E3F" w:rsidRDefault="00DE3FFE" w:rsidP="001B6B3B">
            <w:pPr>
              <w:pStyle w:val="THeadlastNumber"/>
              <w:rPr>
                <w:rFonts w:ascii="Arial" w:hAnsi="Arial" w:cs="Arial"/>
              </w:rPr>
            </w:pPr>
            <w:r w:rsidRPr="00B74E3F">
              <w:rPr>
                <w:rFonts w:ascii="Arial" w:hAnsi="Arial"/>
              </w:rPr>
              <w:t>Δ in %</w:t>
            </w:r>
          </w:p>
        </w:tc>
      </w:tr>
      <w:tr w:rsidR="0076251F" w:rsidRPr="00B74E3F" w14:paraId="2FBEB618" w14:textId="56378D4B" w:rsidTr="00BB29F3">
        <w:trPr>
          <w:trHeight w:val="247"/>
        </w:trPr>
        <w:tc>
          <w:tcPr>
            <w:tcW w:w="5812" w:type="dxa"/>
            <w:tcBorders>
              <w:top w:val="single" w:sz="6" w:space="0" w:color="000000"/>
              <w:left w:val="none" w:sz="0" w:space="0" w:color="000000"/>
              <w:bottom w:val="single" w:sz="4" w:space="0" w:color="727373"/>
              <w:right w:val="none" w:sz="0" w:space="0" w:color="000000"/>
            </w:tcBorders>
            <w:shd w:val="clear" w:color="auto" w:fill="FFFFFF"/>
            <w:vAlign w:val="bottom"/>
          </w:tcPr>
          <w:p w14:paraId="17181FCB" w14:textId="77777777" w:rsidR="0076251F" w:rsidRPr="00B74E3F" w:rsidRDefault="0076251F" w:rsidP="0076251F">
            <w:pPr>
              <w:pStyle w:val="TBodynormalText"/>
              <w:rPr>
                <w:rFonts w:ascii="Arial" w:hAnsi="Arial" w:cs="Arial"/>
              </w:rPr>
            </w:pPr>
            <w:r w:rsidRPr="00B74E3F">
              <w:rPr>
                <w:rFonts w:ascii="Arial" w:hAnsi="Arial"/>
              </w:rPr>
              <w:t>Sales</w:t>
            </w:r>
          </w:p>
        </w:tc>
        <w:tc>
          <w:tcPr>
            <w:tcW w:w="1218" w:type="dxa"/>
            <w:tcBorders>
              <w:top w:val="single" w:sz="6" w:space="0" w:color="000000"/>
              <w:left w:val="none" w:sz="0" w:space="0" w:color="000000"/>
              <w:bottom w:val="single" w:sz="4" w:space="0" w:color="727373"/>
              <w:right w:val="none" w:sz="0" w:space="0" w:color="000000"/>
            </w:tcBorders>
            <w:shd w:val="clear" w:color="auto" w:fill="F0F0F1"/>
            <w:vAlign w:val="bottom"/>
          </w:tcPr>
          <w:p w14:paraId="138875C8" w14:textId="77777777" w:rsidR="0076251F" w:rsidRPr="00B74E3F" w:rsidRDefault="0076251F" w:rsidP="0076251F">
            <w:pPr>
              <w:pStyle w:val="TBodynormalNumber"/>
              <w:rPr>
                <w:rFonts w:ascii="Arial" w:hAnsi="Arial" w:cs="Arial"/>
              </w:rPr>
            </w:pPr>
            <w:r w:rsidRPr="00B74E3F">
              <w:rPr>
                <w:rFonts w:ascii="Arial" w:hAnsi="Arial"/>
              </w:rPr>
              <w:t>9,844.0</w:t>
            </w:r>
          </w:p>
        </w:tc>
        <w:tc>
          <w:tcPr>
            <w:tcW w:w="1218" w:type="dxa"/>
            <w:gridSpan w:val="2"/>
            <w:tcBorders>
              <w:top w:val="single" w:sz="6" w:space="0" w:color="000000"/>
              <w:left w:val="none" w:sz="0" w:space="0" w:color="000000"/>
              <w:bottom w:val="single" w:sz="4" w:space="0" w:color="727373"/>
              <w:right w:val="none" w:sz="0" w:space="0" w:color="000000"/>
            </w:tcBorders>
            <w:shd w:val="clear" w:color="auto" w:fill="FFFFFF"/>
            <w:vAlign w:val="bottom"/>
          </w:tcPr>
          <w:p w14:paraId="751B349F" w14:textId="77777777" w:rsidR="0076251F" w:rsidRPr="00B74E3F" w:rsidRDefault="0076251F" w:rsidP="0076251F">
            <w:pPr>
              <w:pStyle w:val="TBodynormalNumber"/>
              <w:rPr>
                <w:rFonts w:ascii="Arial" w:hAnsi="Arial" w:cs="Arial"/>
              </w:rPr>
            </w:pPr>
            <w:r w:rsidRPr="00B74E3F">
              <w:rPr>
                <w:rFonts w:ascii="Arial" w:hAnsi="Arial"/>
              </w:rPr>
              <w:t>11,046.7</w:t>
            </w:r>
          </w:p>
        </w:tc>
        <w:tc>
          <w:tcPr>
            <w:tcW w:w="1218" w:type="dxa"/>
            <w:gridSpan w:val="2"/>
            <w:tcBorders>
              <w:top w:val="single" w:sz="6" w:space="0" w:color="000000"/>
              <w:left w:val="none" w:sz="0" w:space="0" w:color="000000"/>
              <w:bottom w:val="single" w:sz="4" w:space="0" w:color="727373"/>
              <w:right w:val="none" w:sz="0" w:space="0" w:color="000000"/>
            </w:tcBorders>
            <w:shd w:val="clear" w:color="auto" w:fill="F2F2F2" w:themeFill="background1" w:themeFillShade="F2"/>
            <w:vAlign w:val="center"/>
          </w:tcPr>
          <w:p w14:paraId="2C345050" w14:textId="52571260" w:rsidR="0076251F" w:rsidRPr="00B74E3F" w:rsidRDefault="0076251F" w:rsidP="0076251F">
            <w:pPr>
              <w:pStyle w:val="TBodynormalNumber"/>
              <w:rPr>
                <w:rFonts w:ascii="Arial" w:hAnsi="Arial" w:cs="Arial"/>
              </w:rPr>
            </w:pPr>
            <w:r w:rsidRPr="00B74E3F">
              <w:rPr>
                <w:rFonts w:ascii="Arial" w:hAnsi="Arial"/>
                <w:color w:val="000000"/>
                <w:szCs w:val="13"/>
              </w:rPr>
              <w:t>-10.9</w:t>
            </w:r>
          </w:p>
        </w:tc>
      </w:tr>
      <w:tr w:rsidR="0076251F" w:rsidRPr="00B74E3F" w14:paraId="5A50789B" w14:textId="25CAECA4"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25C73C9" w14:textId="77777777" w:rsidR="0076251F" w:rsidRPr="00B74E3F" w:rsidRDefault="0076251F" w:rsidP="0076251F">
            <w:pPr>
              <w:pStyle w:val="TBodynormalText"/>
              <w:rPr>
                <w:rFonts w:ascii="Arial" w:hAnsi="Arial" w:cs="Arial"/>
              </w:rPr>
            </w:pPr>
            <w:r w:rsidRPr="00B74E3F">
              <w:rPr>
                <w:rFonts w:ascii="Arial" w:hAnsi="Arial"/>
              </w:rPr>
              <w:t>EBITDA</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FD2C148" w14:textId="77777777" w:rsidR="0076251F" w:rsidRPr="00B74E3F" w:rsidRDefault="0076251F" w:rsidP="0076251F">
            <w:pPr>
              <w:pStyle w:val="TBodynormalNumber"/>
              <w:rPr>
                <w:rFonts w:ascii="Arial" w:hAnsi="Arial" w:cs="Arial"/>
              </w:rPr>
            </w:pPr>
            <w:r w:rsidRPr="00B74E3F">
              <w:rPr>
                <w:rFonts w:ascii="Arial" w:hAnsi="Arial"/>
              </w:rPr>
              <w:t>1,160.6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34DCA24" w14:textId="77777777" w:rsidR="0076251F" w:rsidRPr="00B74E3F" w:rsidRDefault="0076251F" w:rsidP="0076251F">
            <w:pPr>
              <w:pStyle w:val="TBodynormalNumber"/>
              <w:rPr>
                <w:rFonts w:ascii="Arial" w:hAnsi="Arial" w:cs="Arial"/>
              </w:rPr>
            </w:pPr>
            <w:r w:rsidRPr="00B74E3F">
              <w:rPr>
                <w:rFonts w:ascii="Arial" w:hAnsi="Arial"/>
              </w:rPr>
              <w:t>1,473.7</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74E510C3" w14:textId="7168C237" w:rsidR="0076251F" w:rsidRPr="00B74E3F" w:rsidRDefault="0076251F" w:rsidP="0076251F">
            <w:pPr>
              <w:pStyle w:val="TBodynormalNumber"/>
              <w:rPr>
                <w:rFonts w:ascii="Arial" w:hAnsi="Arial" w:cs="Arial"/>
              </w:rPr>
            </w:pPr>
            <w:r w:rsidRPr="00B74E3F">
              <w:rPr>
                <w:rFonts w:ascii="Arial" w:hAnsi="Arial"/>
                <w:color w:val="000000"/>
                <w:szCs w:val="13"/>
              </w:rPr>
              <w:t>-21.2</w:t>
            </w:r>
          </w:p>
        </w:tc>
      </w:tr>
      <w:tr w:rsidR="0076251F" w:rsidRPr="00B74E3F" w14:paraId="38329B78" w14:textId="11236FDB"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5C2FAE9F" w14:textId="77777777" w:rsidR="0076251F" w:rsidRPr="00B74E3F" w:rsidRDefault="0076251F" w:rsidP="0076251F">
            <w:pPr>
              <w:pStyle w:val="TBodynormalText"/>
              <w:rPr>
                <w:rFonts w:ascii="Arial" w:hAnsi="Arial" w:cs="Arial"/>
              </w:rPr>
            </w:pPr>
            <w:r w:rsidRPr="00B74E3F">
              <w:rPr>
                <w:rFonts w:ascii="Arial" w:hAnsi="Arial"/>
              </w:rPr>
              <w:t>in % of sales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C4AF237" w14:textId="77777777" w:rsidR="0076251F" w:rsidRPr="00B74E3F" w:rsidRDefault="0076251F" w:rsidP="0076251F">
            <w:pPr>
              <w:pStyle w:val="TBodynormalNumber"/>
              <w:rPr>
                <w:rFonts w:ascii="Arial" w:hAnsi="Arial" w:cs="Arial"/>
              </w:rPr>
            </w:pPr>
            <w:r w:rsidRPr="00B74E3F">
              <w:rPr>
                <w:rFonts w:ascii="Arial" w:hAnsi="Arial"/>
              </w:rPr>
              <w:t>11.8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23AE366" w14:textId="77777777" w:rsidR="0076251F" w:rsidRPr="00B74E3F" w:rsidRDefault="0076251F" w:rsidP="0076251F">
            <w:pPr>
              <w:pStyle w:val="TBodynormalNumber"/>
              <w:rPr>
                <w:rFonts w:ascii="Arial" w:hAnsi="Arial" w:cs="Arial"/>
              </w:rPr>
            </w:pPr>
            <w:r w:rsidRPr="00B74E3F">
              <w:rPr>
                <w:rFonts w:ascii="Arial" w:hAnsi="Arial"/>
              </w:rPr>
              <w:t>13.3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786CD8C" w14:textId="40EC79C5"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0FE0C068" w14:textId="52459F63"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8831527" w14:textId="77777777" w:rsidR="0076251F" w:rsidRPr="00B74E3F" w:rsidRDefault="0076251F" w:rsidP="0076251F">
            <w:pPr>
              <w:pStyle w:val="TBodynormalText"/>
              <w:rPr>
                <w:rFonts w:ascii="Arial" w:hAnsi="Arial" w:cs="Arial"/>
              </w:rPr>
            </w:pPr>
            <w:r w:rsidRPr="00B74E3F">
              <w:rPr>
                <w:rFonts w:ascii="Arial" w:hAnsi="Arial"/>
              </w:rPr>
              <w:t>EBIT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7CF2261" w14:textId="77777777" w:rsidR="0076251F" w:rsidRPr="00B74E3F" w:rsidRDefault="0076251F" w:rsidP="0076251F">
            <w:pPr>
              <w:pStyle w:val="TBodynormalNumber"/>
              <w:rPr>
                <w:rFonts w:ascii="Arial" w:hAnsi="Arial" w:cs="Arial"/>
              </w:rPr>
            </w:pPr>
            <w:r w:rsidRPr="00B74E3F">
              <w:rPr>
                <w:rFonts w:ascii="Arial" w:hAnsi="Arial"/>
              </w:rPr>
              <w:t>436.5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066B955" w14:textId="77777777" w:rsidR="0076251F" w:rsidRPr="00B74E3F" w:rsidRDefault="0076251F" w:rsidP="0076251F">
            <w:pPr>
              <w:pStyle w:val="TBodynormalNumber"/>
              <w:rPr>
                <w:rFonts w:ascii="Arial" w:hAnsi="Arial" w:cs="Arial"/>
              </w:rPr>
            </w:pPr>
            <w:r w:rsidRPr="00B74E3F">
              <w:rPr>
                <w:rFonts w:ascii="Arial" w:hAnsi="Arial"/>
              </w:rPr>
              <w:t>823.3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4008563" w14:textId="5AEFB3E9" w:rsidR="0076251F" w:rsidRPr="00B74E3F" w:rsidRDefault="0076251F" w:rsidP="0076251F">
            <w:pPr>
              <w:pStyle w:val="TBodynormalNumber"/>
              <w:rPr>
                <w:rFonts w:ascii="Arial" w:hAnsi="Arial" w:cs="Arial"/>
              </w:rPr>
            </w:pPr>
            <w:r w:rsidRPr="00B74E3F">
              <w:rPr>
                <w:rFonts w:ascii="Arial" w:hAnsi="Arial"/>
                <w:color w:val="000000"/>
                <w:szCs w:val="13"/>
              </w:rPr>
              <w:t>-47.0</w:t>
            </w:r>
          </w:p>
        </w:tc>
      </w:tr>
      <w:tr w:rsidR="0076251F" w:rsidRPr="00B74E3F" w14:paraId="32F29F33" w14:textId="4D981BE9"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C42170B" w14:textId="77777777" w:rsidR="0076251F" w:rsidRPr="00B74E3F" w:rsidRDefault="0076251F" w:rsidP="0076251F">
            <w:pPr>
              <w:pStyle w:val="TBodynormalText"/>
              <w:rPr>
                <w:rFonts w:ascii="Arial" w:hAnsi="Arial" w:cs="Arial"/>
              </w:rPr>
            </w:pPr>
            <w:r w:rsidRPr="00B74E3F">
              <w:rPr>
                <w:rFonts w:ascii="Arial" w:hAnsi="Arial"/>
              </w:rPr>
              <w:t>in % of sales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4E7AE2DA" w14:textId="77777777" w:rsidR="0076251F" w:rsidRPr="00B74E3F" w:rsidRDefault="0076251F" w:rsidP="0076251F">
            <w:pPr>
              <w:pStyle w:val="TBodynormalNumber"/>
              <w:rPr>
                <w:rFonts w:ascii="Arial" w:hAnsi="Arial" w:cs="Arial"/>
              </w:rPr>
            </w:pPr>
            <w:r w:rsidRPr="00B74E3F">
              <w:rPr>
                <w:rFonts w:ascii="Arial" w:hAnsi="Arial"/>
              </w:rPr>
              <w:t>4.4</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B5DA793" w14:textId="77777777" w:rsidR="0076251F" w:rsidRPr="00B74E3F" w:rsidRDefault="0076251F" w:rsidP="0076251F">
            <w:pPr>
              <w:pStyle w:val="TBodynormalNumber"/>
              <w:rPr>
                <w:rFonts w:ascii="Arial" w:hAnsi="Arial" w:cs="Arial"/>
              </w:rPr>
            </w:pPr>
            <w:r w:rsidRPr="00B74E3F">
              <w:rPr>
                <w:rFonts w:ascii="Arial" w:hAnsi="Arial"/>
              </w:rPr>
              <w:t>7.5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F738E63" w14:textId="18841800"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63C2AB45"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49545FA" w14:textId="77777777" w:rsidR="0076251F" w:rsidRPr="00B74E3F" w:rsidRDefault="0076251F" w:rsidP="0076251F">
            <w:pPr>
              <w:pStyle w:val="TBodynormalText"/>
              <w:rPr>
                <w:rFonts w:ascii="Arial" w:hAnsi="Arial" w:cs="Arial"/>
              </w:rPr>
            </w:pP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DAA43E9" w14:textId="77777777" w:rsidR="0076251F" w:rsidRPr="00B74E3F"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7FC3569" w14:textId="77777777" w:rsidR="0076251F" w:rsidRPr="00B74E3F"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199C90C" w14:textId="1E997B23"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465E2A20"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E317512" w14:textId="70FD8660" w:rsidR="0076251F" w:rsidRPr="00B74E3F" w:rsidRDefault="0076251F" w:rsidP="0076251F">
            <w:pPr>
              <w:pStyle w:val="TBodynormalText"/>
              <w:rPr>
                <w:rFonts w:ascii="Arial" w:hAnsi="Arial" w:cs="Arial"/>
              </w:rPr>
            </w:pPr>
            <w:r w:rsidRPr="00B74E3F">
              <w:rPr>
                <w:rFonts w:ascii="Arial" w:hAnsi="Arial"/>
              </w:rPr>
              <w:t>Research and development expenses (net)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0A6508D0" w14:textId="491909CF" w:rsidR="0076251F" w:rsidRPr="00B74E3F" w:rsidRDefault="0076251F" w:rsidP="0076251F">
            <w:pPr>
              <w:pStyle w:val="TBodynormalNumber"/>
              <w:rPr>
                <w:rFonts w:ascii="Arial" w:hAnsi="Arial" w:cs="Arial"/>
              </w:rPr>
            </w:pPr>
            <w:r w:rsidRPr="00B74E3F">
              <w:rPr>
                <w:rFonts w:ascii="Arial" w:hAnsi="Arial"/>
              </w:rPr>
              <w:t>913.0</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610FBBCC" w14:textId="609A2AA1" w:rsidR="0076251F" w:rsidRPr="00B74E3F" w:rsidRDefault="0076251F" w:rsidP="0076251F">
            <w:pPr>
              <w:pStyle w:val="TBodynormalNumber"/>
              <w:rPr>
                <w:rFonts w:ascii="Arial" w:hAnsi="Arial" w:cs="Arial"/>
              </w:rPr>
            </w:pPr>
            <w:r w:rsidRPr="00B74E3F">
              <w:rPr>
                <w:rFonts w:ascii="Arial" w:hAnsi="Arial"/>
              </w:rPr>
              <w:t>902.8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3A46FB4" w14:textId="38D5DC45" w:rsidR="0076251F" w:rsidRPr="00B74E3F" w:rsidRDefault="0076251F" w:rsidP="0076251F">
            <w:pPr>
              <w:pStyle w:val="TBodynormalNumber"/>
              <w:rPr>
                <w:rFonts w:ascii="Arial" w:hAnsi="Arial" w:cs="Arial"/>
              </w:rPr>
            </w:pPr>
            <w:r w:rsidRPr="00B74E3F">
              <w:rPr>
                <w:rFonts w:ascii="Arial" w:hAnsi="Arial"/>
                <w:color w:val="000000"/>
                <w:szCs w:val="13"/>
              </w:rPr>
              <w:t>1.1</w:t>
            </w:r>
          </w:p>
        </w:tc>
      </w:tr>
      <w:tr w:rsidR="0076251F" w:rsidRPr="00B74E3F" w14:paraId="663D81B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E03EE3A" w14:textId="156259ED" w:rsidR="0076251F" w:rsidRPr="00B74E3F" w:rsidRDefault="0076251F" w:rsidP="0076251F">
            <w:pPr>
              <w:pStyle w:val="TBodynormalText"/>
              <w:rPr>
                <w:rFonts w:ascii="Arial" w:hAnsi="Arial" w:cs="Arial"/>
              </w:rPr>
            </w:pPr>
            <w:r w:rsidRPr="00B74E3F">
              <w:rPr>
                <w:rFonts w:ascii="Arial" w:hAnsi="Arial"/>
              </w:rPr>
              <w:t>in % of sales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7D71045" w14:textId="7920A11A" w:rsidR="0076251F" w:rsidRPr="00B74E3F" w:rsidRDefault="0076251F" w:rsidP="0076251F">
            <w:pPr>
              <w:pStyle w:val="TBodynormalNumber"/>
              <w:rPr>
                <w:rFonts w:ascii="Arial" w:hAnsi="Arial" w:cs="Arial"/>
              </w:rPr>
            </w:pPr>
            <w:r w:rsidRPr="00B74E3F">
              <w:rPr>
                <w:rFonts w:ascii="Arial" w:hAnsi="Arial"/>
              </w:rPr>
              <w:t>9.3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09801CF" w14:textId="73D151A3" w:rsidR="0076251F" w:rsidRPr="00B74E3F" w:rsidRDefault="0076251F" w:rsidP="0076251F">
            <w:pPr>
              <w:pStyle w:val="TBodynormalNumber"/>
              <w:rPr>
                <w:rFonts w:ascii="Arial" w:hAnsi="Arial" w:cs="Arial"/>
              </w:rPr>
            </w:pPr>
            <w:r w:rsidRPr="00B74E3F">
              <w:rPr>
                <w:rFonts w:ascii="Arial" w:hAnsi="Arial"/>
              </w:rPr>
              <w:t>8.2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28A1466" w14:textId="3A2574D0"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694BC2ED"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E0F8C2A" w14:textId="2E46EDF2" w:rsidR="0076251F" w:rsidRPr="00B74E3F" w:rsidRDefault="0076251F" w:rsidP="0076251F">
            <w:pPr>
              <w:pStyle w:val="TBodynormalText"/>
              <w:rPr>
                <w:rFonts w:ascii="Arial" w:hAnsi="Arial" w:cs="Arial"/>
              </w:rPr>
            </w:pPr>
            <w:r w:rsidRPr="00B74E3F">
              <w:rPr>
                <w:rFonts w:ascii="Arial" w:hAnsi="Arial"/>
              </w:rPr>
              <w:t>Capital expenditure</w:t>
            </w:r>
            <w:r w:rsidR="002D048A">
              <w:rPr>
                <w:rFonts w:ascii="Arial" w:hAnsi="Arial"/>
                <w:vertAlign w:val="superscript"/>
              </w:rPr>
              <w:t>1</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35811A16" w14:textId="1F875E6D" w:rsidR="0076251F" w:rsidRPr="00B74E3F" w:rsidRDefault="0076251F" w:rsidP="0076251F">
            <w:pPr>
              <w:pStyle w:val="TBodynormalNumber"/>
              <w:rPr>
                <w:rFonts w:ascii="Arial" w:hAnsi="Arial" w:cs="Arial"/>
              </w:rPr>
            </w:pPr>
            <w:r w:rsidRPr="00B74E3F">
              <w:rPr>
                <w:rFonts w:ascii="Arial" w:hAnsi="Arial"/>
              </w:rPr>
              <w:t>475.0</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4D29E20" w14:textId="273E4DB9" w:rsidR="0076251F" w:rsidRPr="00B74E3F" w:rsidRDefault="0076251F" w:rsidP="0076251F">
            <w:pPr>
              <w:pStyle w:val="TBodynormalNumber"/>
              <w:rPr>
                <w:rFonts w:ascii="Arial" w:hAnsi="Arial" w:cs="Arial"/>
              </w:rPr>
            </w:pPr>
            <w:r w:rsidRPr="00B74E3F">
              <w:rPr>
                <w:rFonts w:ascii="Arial" w:hAnsi="Arial"/>
              </w:rPr>
              <w:t>641.8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0F090D31" w14:textId="7F7008BF" w:rsidR="0076251F" w:rsidRPr="00B74E3F" w:rsidRDefault="0076251F" w:rsidP="0076251F">
            <w:pPr>
              <w:pStyle w:val="TBodynormalNumber"/>
              <w:rPr>
                <w:rFonts w:ascii="Arial" w:hAnsi="Arial" w:cs="Arial"/>
              </w:rPr>
            </w:pPr>
            <w:r w:rsidRPr="00B74E3F">
              <w:rPr>
                <w:rFonts w:ascii="Arial" w:hAnsi="Arial"/>
                <w:color w:val="000000"/>
                <w:szCs w:val="13"/>
              </w:rPr>
              <w:t>-26.0</w:t>
            </w:r>
          </w:p>
        </w:tc>
      </w:tr>
      <w:tr w:rsidR="0076251F" w:rsidRPr="00B74E3F" w14:paraId="183D431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1E819CA" w14:textId="1C3868AF" w:rsidR="0076251F" w:rsidRPr="00B74E3F" w:rsidRDefault="0076251F" w:rsidP="0076251F">
            <w:pPr>
              <w:pStyle w:val="TBodynormalText"/>
              <w:rPr>
                <w:rFonts w:ascii="Arial" w:hAnsi="Arial" w:cs="Arial"/>
              </w:rPr>
            </w:pPr>
            <w:r w:rsidRPr="00B74E3F">
              <w:rPr>
                <w:rFonts w:ascii="Arial" w:hAnsi="Arial"/>
              </w:rPr>
              <w:t>in % of sales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03243E2" w14:textId="3B14B713" w:rsidR="0076251F" w:rsidRPr="00B74E3F" w:rsidRDefault="0076251F" w:rsidP="0076251F">
            <w:pPr>
              <w:pStyle w:val="TBodynormalNumber"/>
              <w:rPr>
                <w:rFonts w:ascii="Arial" w:hAnsi="Arial" w:cs="Arial"/>
              </w:rPr>
            </w:pPr>
            <w:r w:rsidRPr="00B74E3F">
              <w:rPr>
                <w:rFonts w:ascii="Arial" w:hAnsi="Arial"/>
              </w:rPr>
              <w:t>4.8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4363055A" w14:textId="24C021E8" w:rsidR="0076251F" w:rsidRPr="00B74E3F" w:rsidRDefault="0076251F" w:rsidP="0076251F">
            <w:pPr>
              <w:pStyle w:val="TBodynormalNumber"/>
              <w:rPr>
                <w:rFonts w:ascii="Arial" w:hAnsi="Arial" w:cs="Arial"/>
              </w:rPr>
            </w:pPr>
            <w:r w:rsidRPr="00B74E3F">
              <w:rPr>
                <w:rFonts w:ascii="Arial" w:hAnsi="Arial"/>
              </w:rPr>
              <w:t>5.8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48D115C7" w14:textId="5B6302E2"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15AA7DD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1D5B121" w14:textId="77777777" w:rsidR="0076251F" w:rsidRPr="00B74E3F" w:rsidRDefault="0076251F" w:rsidP="0076251F">
            <w:pPr>
              <w:pStyle w:val="TBodynormalText"/>
              <w:rPr>
                <w:rFonts w:ascii="Arial" w:hAnsi="Arial" w:cs="Arial"/>
              </w:rPr>
            </w:pP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DF920FE" w14:textId="77777777" w:rsidR="0076251F" w:rsidRPr="00B74E3F"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973A097" w14:textId="77777777" w:rsidR="0076251F" w:rsidRPr="00B74E3F"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23E4A569" w14:textId="0072789D"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527A97AC" w14:textId="7D96AF4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20D2377A" w14:textId="77777777" w:rsidR="0076251F" w:rsidRPr="00B74E3F" w:rsidRDefault="0076251F" w:rsidP="0076251F">
            <w:pPr>
              <w:pStyle w:val="TBodynormalText"/>
              <w:rPr>
                <w:rFonts w:ascii="Arial" w:hAnsi="Arial" w:cs="Arial"/>
              </w:rPr>
            </w:pPr>
            <w:r w:rsidRPr="00B74E3F">
              <w:rPr>
                <w:rFonts w:ascii="Arial" w:hAnsi="Arial"/>
              </w:rPr>
              <w:t>Net income attributable to the shareholders of the parent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3BA715E4" w14:textId="77777777" w:rsidR="0076251F" w:rsidRPr="00B74E3F" w:rsidRDefault="0076251F" w:rsidP="0076251F">
            <w:pPr>
              <w:pStyle w:val="TBodynormalNumber"/>
              <w:rPr>
                <w:rFonts w:ascii="Arial" w:hAnsi="Arial" w:cs="Arial"/>
              </w:rPr>
            </w:pPr>
            <w:r w:rsidRPr="00B74E3F">
              <w:rPr>
                <w:rFonts w:ascii="Arial" w:hAnsi="Arial"/>
              </w:rPr>
              <w:t>292.3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3FFAC1D" w14:textId="77777777" w:rsidR="0076251F" w:rsidRPr="00B74E3F" w:rsidRDefault="0076251F" w:rsidP="0076251F">
            <w:pPr>
              <w:pStyle w:val="TBodynormalNumber"/>
              <w:rPr>
                <w:rFonts w:ascii="Arial" w:hAnsi="Arial" w:cs="Arial"/>
              </w:rPr>
            </w:pPr>
            <w:r w:rsidRPr="00B74E3F">
              <w:rPr>
                <w:rFonts w:ascii="Arial" w:hAnsi="Arial"/>
              </w:rPr>
              <w:t>575.2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8D045B7" w14:textId="080C84BF" w:rsidR="0076251F" w:rsidRPr="00B74E3F" w:rsidRDefault="0076251F" w:rsidP="0076251F">
            <w:pPr>
              <w:pStyle w:val="TBodynormalNumber"/>
              <w:rPr>
                <w:rFonts w:ascii="Arial" w:hAnsi="Arial" w:cs="Arial"/>
              </w:rPr>
            </w:pPr>
            <w:r w:rsidRPr="00B74E3F">
              <w:rPr>
                <w:rFonts w:ascii="Arial" w:hAnsi="Arial"/>
                <w:color w:val="000000"/>
                <w:szCs w:val="13"/>
              </w:rPr>
              <w:t>-49.2</w:t>
            </w:r>
          </w:p>
        </w:tc>
      </w:tr>
      <w:tr w:rsidR="0076251F" w:rsidRPr="00B74E3F" w14:paraId="76466244" w14:textId="0965732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41971BC" w14:textId="77777777" w:rsidR="0076251F" w:rsidRPr="00B74E3F" w:rsidRDefault="0076251F" w:rsidP="0076251F">
            <w:pPr>
              <w:pStyle w:val="TBodynormalText"/>
              <w:rPr>
                <w:rFonts w:ascii="Arial" w:hAnsi="Arial" w:cs="Arial"/>
              </w:rPr>
            </w:pPr>
            <w:r w:rsidRPr="00B74E3F">
              <w:rPr>
                <w:rFonts w:ascii="Arial" w:hAnsi="Arial"/>
              </w:rPr>
              <w:t>Basic earnings per share in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1F2D0161" w14:textId="77777777" w:rsidR="0076251F" w:rsidRPr="00B74E3F" w:rsidRDefault="0076251F" w:rsidP="0076251F">
            <w:pPr>
              <w:pStyle w:val="TBodynormalNumber"/>
              <w:rPr>
                <w:rFonts w:ascii="Arial" w:hAnsi="Arial" w:cs="Arial"/>
              </w:rPr>
            </w:pPr>
            <w:r w:rsidRPr="00B74E3F">
              <w:rPr>
                <w:rFonts w:ascii="Arial" w:hAnsi="Arial"/>
              </w:rPr>
              <w:t>1.46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C9AB60A" w14:textId="77777777" w:rsidR="0076251F" w:rsidRPr="00B74E3F" w:rsidRDefault="0076251F" w:rsidP="0076251F">
            <w:pPr>
              <w:pStyle w:val="TBodynormalNumber"/>
              <w:rPr>
                <w:rFonts w:ascii="Arial" w:hAnsi="Arial" w:cs="Arial"/>
              </w:rPr>
            </w:pPr>
            <w:r w:rsidRPr="00B74E3F">
              <w:rPr>
                <w:rFonts w:ascii="Arial" w:hAnsi="Arial"/>
              </w:rPr>
              <w:t>2.88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4005E11" w14:textId="634D4284" w:rsidR="0076251F" w:rsidRPr="00B74E3F" w:rsidRDefault="0076251F" w:rsidP="0076251F">
            <w:pPr>
              <w:pStyle w:val="TBodynormalNumber"/>
              <w:rPr>
                <w:rFonts w:ascii="Arial" w:hAnsi="Arial" w:cs="Arial"/>
              </w:rPr>
            </w:pPr>
            <w:r w:rsidRPr="00B74E3F">
              <w:rPr>
                <w:rFonts w:ascii="Arial" w:hAnsi="Arial"/>
                <w:color w:val="000000"/>
                <w:szCs w:val="13"/>
              </w:rPr>
              <w:t>-49.3</w:t>
            </w:r>
          </w:p>
        </w:tc>
      </w:tr>
      <w:tr w:rsidR="0076251F" w:rsidRPr="00B74E3F" w14:paraId="2805DBF3" w14:textId="07A3E4A6"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534B33B" w14:textId="77777777" w:rsidR="0076251F" w:rsidRPr="00B74E3F" w:rsidRDefault="0076251F" w:rsidP="0076251F">
            <w:pPr>
              <w:pStyle w:val="TBodynormalText"/>
              <w:rPr>
                <w:rFonts w:ascii="Arial" w:hAnsi="Arial" w:cs="Arial"/>
              </w:rPr>
            </w:pPr>
            <w:r w:rsidRPr="00B74E3F">
              <w:rPr>
                <w:rFonts w:ascii="Arial" w:hAnsi="Arial"/>
              </w:rPr>
              <w:t>Diluted earnings per share in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1CCA0E5" w14:textId="77777777" w:rsidR="0076251F" w:rsidRPr="00B74E3F" w:rsidRDefault="0076251F" w:rsidP="0076251F">
            <w:pPr>
              <w:pStyle w:val="TBodynormalNumber"/>
              <w:rPr>
                <w:rFonts w:ascii="Arial" w:hAnsi="Arial" w:cs="Arial"/>
              </w:rPr>
            </w:pPr>
            <w:r w:rsidRPr="00B74E3F">
              <w:rPr>
                <w:rFonts w:ascii="Arial" w:hAnsi="Arial"/>
              </w:rPr>
              <w:t>1.46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2454F74" w14:textId="77777777" w:rsidR="0076251F" w:rsidRPr="00B74E3F" w:rsidRDefault="0076251F" w:rsidP="0076251F">
            <w:pPr>
              <w:pStyle w:val="TBodynormalNumber"/>
              <w:rPr>
                <w:rFonts w:ascii="Arial" w:hAnsi="Arial" w:cs="Arial"/>
              </w:rPr>
            </w:pPr>
            <w:r w:rsidRPr="00B74E3F">
              <w:rPr>
                <w:rFonts w:ascii="Arial" w:hAnsi="Arial"/>
              </w:rPr>
              <w:t>2.88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5877618" w14:textId="25FDA576" w:rsidR="0076251F" w:rsidRPr="00B74E3F" w:rsidRDefault="0076251F" w:rsidP="0076251F">
            <w:pPr>
              <w:pStyle w:val="TBodynormalNumber"/>
              <w:rPr>
                <w:rFonts w:ascii="Arial" w:hAnsi="Arial" w:cs="Arial"/>
              </w:rPr>
            </w:pPr>
            <w:r w:rsidRPr="00B74E3F">
              <w:rPr>
                <w:rFonts w:ascii="Arial" w:hAnsi="Arial"/>
                <w:color w:val="000000"/>
                <w:szCs w:val="13"/>
              </w:rPr>
              <w:t>-49.3</w:t>
            </w:r>
          </w:p>
        </w:tc>
      </w:tr>
      <w:tr w:rsidR="0076251F" w:rsidRPr="00B74E3F" w14:paraId="019DB70B" w14:textId="0AAE593D"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3D3C5B5" w14:textId="77777777" w:rsidR="0076251F" w:rsidRPr="00B74E3F" w:rsidRDefault="0076251F" w:rsidP="0076251F">
            <w:pPr>
              <w:pStyle w:val="TBodynormalText"/>
              <w:rPr>
                <w:rFonts w:ascii="Arial" w:hAnsi="Arial" w:cs="Arial"/>
              </w:rPr>
            </w:pPr>
            <w:r w:rsidRPr="00B74E3F">
              <w:rPr>
                <w:rFonts w:ascii="Arial" w:hAnsi="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E546EB8"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8286B00"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DA23088" w14:textId="27DDF782"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787BC27A" w14:textId="7710BD53"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1A83E4E2" w14:textId="4A858C78" w:rsidR="0076251F" w:rsidRPr="00B74E3F" w:rsidRDefault="0076251F" w:rsidP="0076251F">
            <w:pPr>
              <w:pStyle w:val="TBodynormalText"/>
              <w:rPr>
                <w:rFonts w:ascii="Arial" w:hAnsi="Arial" w:cs="Arial"/>
              </w:rPr>
            </w:pPr>
            <w:r w:rsidRPr="00B74E3F">
              <w:rPr>
                <w:rFonts w:ascii="Arial" w:hAnsi="Arial"/>
              </w:rPr>
              <w:t>Adjusted sales</w:t>
            </w:r>
            <w:r w:rsidR="002D048A">
              <w:rPr>
                <w:rFonts w:ascii="Arial" w:hAnsi="Arial"/>
                <w:vertAlign w:val="superscript"/>
              </w:rPr>
              <w:t>2</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0F07B4F" w14:textId="77777777" w:rsidR="0076251F" w:rsidRPr="00B74E3F" w:rsidRDefault="0076251F" w:rsidP="0076251F">
            <w:pPr>
              <w:pStyle w:val="TBodynormalNumber"/>
              <w:rPr>
                <w:rFonts w:ascii="Arial" w:hAnsi="Arial" w:cs="Arial"/>
              </w:rPr>
            </w:pPr>
            <w:r w:rsidRPr="00B74E3F">
              <w:rPr>
                <w:rFonts w:ascii="Arial" w:hAnsi="Arial"/>
              </w:rPr>
              <w:t>9,743.6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4B7566F" w14:textId="77777777" w:rsidR="0076251F" w:rsidRPr="00B74E3F" w:rsidRDefault="0076251F" w:rsidP="0076251F">
            <w:pPr>
              <w:pStyle w:val="TBodynormalNumber"/>
              <w:rPr>
                <w:rFonts w:ascii="Arial" w:hAnsi="Arial" w:cs="Arial"/>
              </w:rPr>
            </w:pPr>
            <w:r w:rsidRPr="00B74E3F">
              <w:rPr>
                <w:rFonts w:ascii="Arial" w:hAnsi="Arial"/>
              </w:rPr>
              <w:t>10,921.1</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83C13F5" w14:textId="0EC15BBD" w:rsidR="0076251F" w:rsidRPr="00B74E3F" w:rsidRDefault="0076251F" w:rsidP="0076251F">
            <w:pPr>
              <w:pStyle w:val="TBodynormalNumber"/>
              <w:rPr>
                <w:rFonts w:ascii="Arial" w:hAnsi="Arial" w:cs="Arial"/>
              </w:rPr>
            </w:pPr>
            <w:r w:rsidRPr="00B74E3F">
              <w:rPr>
                <w:rFonts w:ascii="Arial" w:hAnsi="Arial"/>
                <w:color w:val="000000"/>
                <w:szCs w:val="13"/>
              </w:rPr>
              <w:t>-10.8</w:t>
            </w:r>
          </w:p>
        </w:tc>
      </w:tr>
      <w:tr w:rsidR="0076251F" w:rsidRPr="00B74E3F" w14:paraId="5D81FCD6" w14:textId="2DF9ADAC"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EE0C093" w14:textId="17458B16" w:rsidR="0076251F" w:rsidRPr="00B74E3F" w:rsidRDefault="0076251F" w:rsidP="0076251F">
            <w:pPr>
              <w:pStyle w:val="TBodynormalText"/>
              <w:rPr>
                <w:rFonts w:ascii="Arial" w:hAnsi="Arial" w:cs="Arial"/>
              </w:rPr>
            </w:pPr>
            <w:r w:rsidRPr="00B74E3F">
              <w:rPr>
                <w:rFonts w:ascii="Arial" w:hAnsi="Arial"/>
              </w:rPr>
              <w:t>Adjusted operating result (adjusted EBIT)</w:t>
            </w:r>
            <w:r w:rsidR="002D048A">
              <w:rPr>
                <w:rFonts w:ascii="Arial" w:hAnsi="Arial"/>
                <w:vertAlign w:val="superscript"/>
              </w:rPr>
              <w:t>3</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4F48A3CA" w14:textId="77777777" w:rsidR="0076251F" w:rsidRPr="00B74E3F" w:rsidRDefault="0076251F" w:rsidP="0076251F">
            <w:pPr>
              <w:pStyle w:val="TBodynormalNumber"/>
              <w:rPr>
                <w:rFonts w:ascii="Arial" w:hAnsi="Arial" w:cs="Arial"/>
              </w:rPr>
            </w:pPr>
            <w:r w:rsidRPr="00B74E3F">
              <w:rPr>
                <w:rFonts w:ascii="Arial" w:hAnsi="Arial"/>
              </w:rPr>
              <w:t>431.9</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0C054CD" w14:textId="77777777" w:rsidR="0076251F" w:rsidRPr="00B74E3F" w:rsidRDefault="0076251F" w:rsidP="0076251F">
            <w:pPr>
              <w:pStyle w:val="TBodynormalNumber"/>
              <w:rPr>
                <w:rFonts w:ascii="Arial" w:hAnsi="Arial" w:cs="Arial"/>
              </w:rPr>
            </w:pPr>
            <w:r w:rsidRPr="00B74E3F">
              <w:rPr>
                <w:rFonts w:ascii="Arial" w:hAnsi="Arial"/>
              </w:rPr>
              <w:t>883.6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E885CA0" w14:textId="2AE91A28" w:rsidR="0076251F" w:rsidRPr="00B74E3F" w:rsidRDefault="0076251F" w:rsidP="0076251F">
            <w:pPr>
              <w:pStyle w:val="TBodynormalNumber"/>
              <w:rPr>
                <w:rFonts w:ascii="Arial" w:hAnsi="Arial" w:cs="Arial"/>
              </w:rPr>
            </w:pPr>
            <w:r w:rsidRPr="00B74E3F">
              <w:rPr>
                <w:rFonts w:ascii="Arial" w:hAnsi="Arial"/>
                <w:color w:val="000000"/>
                <w:szCs w:val="13"/>
              </w:rPr>
              <w:t>-51.1</w:t>
            </w:r>
          </w:p>
        </w:tc>
      </w:tr>
      <w:tr w:rsidR="0076251F" w:rsidRPr="00B74E3F" w14:paraId="72E4AC8D" w14:textId="41DD7490"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5ECD78B4" w14:textId="77777777" w:rsidR="0076251F" w:rsidRPr="00B74E3F" w:rsidRDefault="0076251F" w:rsidP="0076251F">
            <w:pPr>
              <w:pStyle w:val="TBodynormalText"/>
              <w:rPr>
                <w:rFonts w:ascii="Arial" w:hAnsi="Arial" w:cs="Arial"/>
              </w:rPr>
            </w:pPr>
            <w:r w:rsidRPr="00B74E3F">
              <w:rPr>
                <w:rFonts w:ascii="Arial" w:hAnsi="Arial"/>
              </w:rPr>
              <w:t>in % of adjusted sales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0B9C7EDD" w14:textId="77777777" w:rsidR="0076251F" w:rsidRPr="00B74E3F" w:rsidRDefault="0076251F" w:rsidP="0076251F">
            <w:pPr>
              <w:pStyle w:val="TBodynormalNumber"/>
              <w:rPr>
                <w:rFonts w:ascii="Arial" w:hAnsi="Arial" w:cs="Arial"/>
              </w:rPr>
            </w:pPr>
            <w:r w:rsidRPr="00B74E3F">
              <w:rPr>
                <w:rFonts w:ascii="Arial" w:hAnsi="Arial"/>
              </w:rPr>
              <w:t>4.4</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DBBA63A" w14:textId="77777777" w:rsidR="0076251F" w:rsidRPr="00B74E3F" w:rsidRDefault="0076251F" w:rsidP="0076251F">
            <w:pPr>
              <w:pStyle w:val="TBodynormalNumber"/>
              <w:rPr>
                <w:rFonts w:ascii="Arial" w:hAnsi="Arial" w:cs="Arial"/>
              </w:rPr>
            </w:pPr>
            <w:r w:rsidRPr="00B74E3F">
              <w:rPr>
                <w:rFonts w:ascii="Arial" w:hAnsi="Arial"/>
              </w:rPr>
              <w:t>8.1</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7CD8A35" w14:textId="5490BAC9"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72A9ED41" w14:textId="63EB58D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9BC80E1" w14:textId="77777777" w:rsidR="0076251F" w:rsidRPr="00B74E3F" w:rsidRDefault="0076251F" w:rsidP="0076251F">
            <w:pPr>
              <w:pStyle w:val="TBodynormalText"/>
              <w:rPr>
                <w:rFonts w:ascii="Arial" w:hAnsi="Arial" w:cs="Arial"/>
              </w:rPr>
            </w:pPr>
            <w:r w:rsidRPr="00B74E3F">
              <w:rPr>
                <w:rFonts w:ascii="Arial" w:hAnsi="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FA901B1"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71B2C7DA"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6BD246C" w14:textId="4F5AA5AF"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77E878EA" w14:textId="0BE999C2"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BFFC893" w14:textId="77777777" w:rsidR="0076251F" w:rsidRPr="00B74E3F" w:rsidRDefault="0076251F" w:rsidP="0076251F">
            <w:pPr>
              <w:pStyle w:val="TBodynormalText"/>
              <w:rPr>
                <w:rFonts w:ascii="Arial" w:hAnsi="Arial" w:cs="Arial"/>
              </w:rPr>
            </w:pPr>
            <w:r w:rsidRPr="00B74E3F">
              <w:rPr>
                <w:rFonts w:ascii="Arial" w:hAnsi="Arial"/>
              </w:rPr>
              <w:t>Free cash flow</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1EBEBA3F" w14:textId="77777777" w:rsidR="0076251F" w:rsidRPr="00B74E3F" w:rsidRDefault="0076251F" w:rsidP="0076251F">
            <w:pPr>
              <w:pStyle w:val="TBodynormalNumber"/>
              <w:rPr>
                <w:rFonts w:ascii="Arial" w:hAnsi="Arial" w:cs="Arial"/>
              </w:rPr>
            </w:pPr>
            <w:r w:rsidRPr="00B74E3F">
              <w:rPr>
                <w:rFonts w:ascii="Arial" w:hAnsi="Arial"/>
              </w:rPr>
              <w:t>-17.8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5FBCCB2" w14:textId="77777777" w:rsidR="0076251F" w:rsidRPr="00B74E3F" w:rsidRDefault="0076251F" w:rsidP="0076251F">
            <w:pPr>
              <w:pStyle w:val="TBodynormalNumber"/>
              <w:rPr>
                <w:rFonts w:ascii="Arial" w:hAnsi="Arial" w:cs="Arial"/>
              </w:rPr>
            </w:pPr>
            <w:r w:rsidRPr="00B74E3F">
              <w:rPr>
                <w:rFonts w:ascii="Arial" w:hAnsi="Arial"/>
              </w:rPr>
              <w:t>-763.3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BBC7062" w14:textId="4B9D48B9" w:rsidR="0076251F" w:rsidRPr="00B74E3F" w:rsidRDefault="0076251F" w:rsidP="0076251F">
            <w:pPr>
              <w:pStyle w:val="TBodynormalNumber"/>
              <w:rPr>
                <w:rFonts w:ascii="Arial" w:hAnsi="Arial" w:cs="Arial"/>
              </w:rPr>
            </w:pPr>
            <w:r w:rsidRPr="00B74E3F">
              <w:rPr>
                <w:rFonts w:ascii="Arial" w:hAnsi="Arial"/>
                <w:color w:val="000000"/>
                <w:szCs w:val="13"/>
              </w:rPr>
              <w:t>-97.7</w:t>
            </w:r>
          </w:p>
        </w:tc>
      </w:tr>
      <w:tr w:rsidR="0076251F" w:rsidRPr="00B74E3F" w14:paraId="56D66143" w14:textId="1E473C5C"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2C73A850" w14:textId="77777777" w:rsidR="0076251F" w:rsidRPr="00B74E3F" w:rsidRDefault="0076251F" w:rsidP="0076251F">
            <w:pPr>
              <w:pStyle w:val="TBodynormalText"/>
              <w:rPr>
                <w:rFonts w:ascii="Arial" w:hAnsi="Arial" w:cs="Arial"/>
              </w:rPr>
            </w:pPr>
            <w:r w:rsidRPr="00B74E3F">
              <w:rPr>
                <w:rFonts w:ascii="Arial" w:hAnsi="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C0CCFEA"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42912F75"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2DE35796" w14:textId="190C1478"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7541EC85" w14:textId="3090BFD6"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95E254C" w14:textId="77777777" w:rsidR="0076251F" w:rsidRPr="00B74E3F" w:rsidRDefault="0076251F" w:rsidP="0076251F">
            <w:pPr>
              <w:pStyle w:val="TBodynormalText"/>
              <w:rPr>
                <w:rFonts w:ascii="Arial" w:hAnsi="Arial" w:cs="Arial"/>
              </w:rPr>
            </w:pPr>
            <w:r w:rsidRPr="00B74E3F">
              <w:rPr>
                <w:rFonts w:ascii="Arial" w:hAnsi="Arial"/>
              </w:rPr>
              <w:t>Net indebtedness as at March 31</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BC9CC45" w14:textId="77777777" w:rsidR="0076251F" w:rsidRPr="00B74E3F" w:rsidRDefault="0076251F" w:rsidP="0076251F">
            <w:pPr>
              <w:pStyle w:val="TBodynormalNumber"/>
              <w:rPr>
                <w:rFonts w:ascii="Arial" w:hAnsi="Arial" w:cs="Arial"/>
              </w:rPr>
            </w:pPr>
            <w:r w:rsidRPr="00B74E3F">
              <w:rPr>
                <w:rFonts w:ascii="Arial" w:hAnsi="Arial"/>
              </w:rPr>
              <w:t>4,023.5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77AE500D" w14:textId="77777777" w:rsidR="0076251F" w:rsidRPr="00B74E3F" w:rsidRDefault="0076251F" w:rsidP="0076251F">
            <w:pPr>
              <w:pStyle w:val="TBodynormalNumber"/>
              <w:rPr>
                <w:rFonts w:ascii="Arial" w:hAnsi="Arial" w:cs="Arial"/>
              </w:rPr>
            </w:pPr>
            <w:r w:rsidRPr="00B74E3F">
              <w:rPr>
                <w:rFonts w:ascii="Arial" w:hAnsi="Arial"/>
              </w:rPr>
              <w:t>4,302.2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C1C40CC" w14:textId="6BFBB307" w:rsidR="0076251F" w:rsidRPr="00B74E3F" w:rsidRDefault="0076251F" w:rsidP="0076251F">
            <w:pPr>
              <w:pStyle w:val="TBodynormalNumber"/>
              <w:rPr>
                <w:rFonts w:ascii="Arial" w:hAnsi="Arial" w:cs="Arial"/>
              </w:rPr>
            </w:pPr>
            <w:r w:rsidRPr="00B74E3F">
              <w:rPr>
                <w:rFonts w:ascii="Arial" w:hAnsi="Arial"/>
                <w:color w:val="000000"/>
                <w:szCs w:val="13"/>
              </w:rPr>
              <w:t>-6.5</w:t>
            </w:r>
          </w:p>
        </w:tc>
      </w:tr>
      <w:tr w:rsidR="0076251F" w:rsidRPr="00B74E3F" w14:paraId="26F3CB9F" w14:textId="02148735"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D1B966F" w14:textId="77777777" w:rsidR="0076251F" w:rsidRPr="00B74E3F" w:rsidRDefault="0076251F" w:rsidP="0076251F">
            <w:pPr>
              <w:pStyle w:val="TBodynormalText"/>
              <w:rPr>
                <w:rFonts w:ascii="Arial" w:hAnsi="Arial" w:cs="Arial"/>
              </w:rPr>
            </w:pPr>
            <w:r w:rsidRPr="00B74E3F">
              <w:rPr>
                <w:rFonts w:ascii="Arial" w:hAnsi="Arial"/>
              </w:rPr>
              <w:t>Gearing ratio in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66724B9" w14:textId="77777777" w:rsidR="0076251F" w:rsidRPr="00B74E3F" w:rsidRDefault="0076251F" w:rsidP="0076251F">
            <w:pPr>
              <w:pStyle w:val="TBodynormalNumber"/>
              <w:rPr>
                <w:rFonts w:ascii="Arial" w:hAnsi="Arial" w:cs="Arial"/>
              </w:rPr>
            </w:pPr>
            <w:r w:rsidRPr="00B74E3F">
              <w:rPr>
                <w:rFonts w:ascii="Arial" w:hAnsi="Arial"/>
              </w:rPr>
              <w:t>25.9</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DF8A58C" w14:textId="77777777" w:rsidR="0076251F" w:rsidRPr="00B74E3F" w:rsidRDefault="0076251F" w:rsidP="0076251F">
            <w:pPr>
              <w:pStyle w:val="TBodynormalNumber"/>
              <w:rPr>
                <w:rFonts w:ascii="Arial" w:hAnsi="Arial" w:cs="Arial"/>
              </w:rPr>
            </w:pPr>
            <w:r w:rsidRPr="00B74E3F">
              <w:rPr>
                <w:rFonts w:ascii="Arial" w:hAnsi="Arial"/>
              </w:rPr>
              <w:t>22.6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8939D72" w14:textId="058B5E69"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6566310F" w14:textId="3C30C914"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1D74B7B" w14:textId="77777777" w:rsidR="0076251F" w:rsidRPr="00B74E3F" w:rsidRDefault="0076251F" w:rsidP="0076251F">
            <w:pPr>
              <w:pStyle w:val="TBodynormalText"/>
              <w:rPr>
                <w:rFonts w:ascii="Arial" w:hAnsi="Arial" w:cs="Arial"/>
              </w:rPr>
            </w:pPr>
            <w:r w:rsidRPr="00B74E3F">
              <w:rPr>
                <w:rFonts w:ascii="Arial" w:hAnsi="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B779AC7"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6679B01D" w14:textId="77777777" w:rsidR="0076251F" w:rsidRPr="00B74E3F" w:rsidRDefault="0076251F" w:rsidP="0076251F">
            <w:pPr>
              <w:pStyle w:val="TBodynormalNumber"/>
              <w:rPr>
                <w:rFonts w:ascii="Arial" w:hAnsi="Arial" w:cs="Arial"/>
              </w:rPr>
            </w:pPr>
            <w:r w:rsidRPr="00B74E3F">
              <w:rPr>
                <w:rFonts w:ascii="Arial" w:hAnsi="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69ED0C5" w14:textId="4EB1A342" w:rsidR="0076251F" w:rsidRPr="00B74E3F" w:rsidRDefault="0076251F" w:rsidP="0076251F">
            <w:pPr>
              <w:pStyle w:val="TBodynormalNumber"/>
              <w:rPr>
                <w:rFonts w:ascii="Arial" w:hAnsi="Arial" w:cs="Arial"/>
              </w:rPr>
            </w:pPr>
            <w:r w:rsidRPr="00B74E3F">
              <w:rPr>
                <w:rFonts w:ascii="Arial" w:hAnsi="Arial"/>
                <w:color w:val="000000"/>
                <w:szCs w:val="13"/>
              </w:rPr>
              <w:t> </w:t>
            </w:r>
          </w:p>
        </w:tc>
      </w:tr>
      <w:tr w:rsidR="0076251F" w:rsidRPr="00B74E3F" w14:paraId="0FAFE366" w14:textId="0DFDE60A" w:rsidTr="00BB29F3">
        <w:trPr>
          <w:trHeight w:val="247"/>
        </w:trPr>
        <w:tc>
          <w:tcPr>
            <w:tcW w:w="5812" w:type="dxa"/>
            <w:tcBorders>
              <w:top w:val="single" w:sz="4" w:space="0" w:color="727373"/>
              <w:left w:val="none" w:sz="0" w:space="0" w:color="000000"/>
              <w:bottom w:val="single" w:sz="6" w:space="0" w:color="000000"/>
              <w:right w:val="none" w:sz="0" w:space="0" w:color="000000"/>
            </w:tcBorders>
            <w:shd w:val="clear" w:color="auto" w:fill="FFFFFF"/>
            <w:vAlign w:val="bottom"/>
          </w:tcPr>
          <w:p w14:paraId="1C74F534" w14:textId="241E0675" w:rsidR="0076251F" w:rsidRPr="00B74E3F" w:rsidRDefault="0076251F" w:rsidP="0076251F">
            <w:pPr>
              <w:pStyle w:val="TBodynormalText"/>
              <w:rPr>
                <w:rFonts w:ascii="Arial" w:hAnsi="Arial" w:cs="Arial"/>
              </w:rPr>
            </w:pPr>
            <w:r w:rsidRPr="00B74E3F">
              <w:rPr>
                <w:rFonts w:ascii="Arial" w:hAnsi="Arial"/>
              </w:rPr>
              <w:t>Number of employees as at March 31</w:t>
            </w:r>
            <w:r w:rsidR="002D048A">
              <w:rPr>
                <w:rFonts w:ascii="Arial" w:hAnsi="Arial"/>
                <w:vertAlign w:val="superscript"/>
              </w:rPr>
              <w:t>4</w:t>
            </w:r>
          </w:p>
        </w:tc>
        <w:tc>
          <w:tcPr>
            <w:tcW w:w="1218" w:type="dxa"/>
            <w:tcBorders>
              <w:top w:val="single" w:sz="4" w:space="0" w:color="727373"/>
              <w:left w:val="none" w:sz="0" w:space="0" w:color="000000"/>
              <w:bottom w:val="single" w:sz="6" w:space="0" w:color="000000"/>
              <w:right w:val="none" w:sz="0" w:space="0" w:color="000000"/>
            </w:tcBorders>
            <w:shd w:val="clear" w:color="auto" w:fill="F0F0F1"/>
            <w:vAlign w:val="bottom"/>
          </w:tcPr>
          <w:p w14:paraId="4DEF7CD1" w14:textId="77777777" w:rsidR="0076251F" w:rsidRPr="00B74E3F" w:rsidRDefault="0076251F" w:rsidP="0076251F">
            <w:pPr>
              <w:pStyle w:val="TBodynormalNumber"/>
              <w:rPr>
                <w:rFonts w:ascii="Arial" w:hAnsi="Arial" w:cs="Arial"/>
              </w:rPr>
            </w:pPr>
            <w:r w:rsidRPr="00B74E3F">
              <w:rPr>
                <w:rFonts w:ascii="Arial" w:hAnsi="Arial"/>
              </w:rPr>
              <w:t>239,649</w:t>
            </w:r>
          </w:p>
        </w:tc>
        <w:tc>
          <w:tcPr>
            <w:tcW w:w="1218" w:type="dxa"/>
            <w:gridSpan w:val="2"/>
            <w:tcBorders>
              <w:top w:val="single" w:sz="4" w:space="0" w:color="727373"/>
              <w:left w:val="none" w:sz="0" w:space="0" w:color="000000"/>
              <w:bottom w:val="single" w:sz="6" w:space="0" w:color="000000"/>
              <w:right w:val="none" w:sz="0" w:space="0" w:color="000000"/>
            </w:tcBorders>
            <w:shd w:val="clear" w:color="auto" w:fill="FFFFFF"/>
            <w:vAlign w:val="bottom"/>
          </w:tcPr>
          <w:p w14:paraId="77944F37" w14:textId="77777777" w:rsidR="0076251F" w:rsidRPr="00B74E3F" w:rsidRDefault="0076251F" w:rsidP="0076251F">
            <w:pPr>
              <w:pStyle w:val="TBodynormalNumber"/>
              <w:rPr>
                <w:rFonts w:ascii="Arial" w:hAnsi="Arial" w:cs="Arial"/>
              </w:rPr>
            </w:pPr>
            <w:r w:rsidRPr="00B74E3F">
              <w:rPr>
                <w:rFonts w:ascii="Arial" w:hAnsi="Arial"/>
              </w:rPr>
              <w:t>245,686</w:t>
            </w:r>
          </w:p>
        </w:tc>
        <w:tc>
          <w:tcPr>
            <w:tcW w:w="1218" w:type="dxa"/>
            <w:gridSpan w:val="2"/>
            <w:tcBorders>
              <w:top w:val="single" w:sz="4" w:space="0" w:color="727373"/>
              <w:left w:val="none" w:sz="0" w:space="0" w:color="000000"/>
              <w:bottom w:val="single" w:sz="6" w:space="0" w:color="000000"/>
              <w:right w:val="none" w:sz="0" w:space="0" w:color="000000"/>
            </w:tcBorders>
            <w:shd w:val="clear" w:color="auto" w:fill="F2F2F2" w:themeFill="background1" w:themeFillShade="F2"/>
            <w:vAlign w:val="center"/>
          </w:tcPr>
          <w:p w14:paraId="606EC00F" w14:textId="320FFADF" w:rsidR="0076251F" w:rsidRPr="00B74E3F" w:rsidRDefault="0076251F" w:rsidP="0076251F">
            <w:pPr>
              <w:pStyle w:val="TBodynormalNumber"/>
              <w:rPr>
                <w:rFonts w:ascii="Arial" w:hAnsi="Arial" w:cs="Arial"/>
              </w:rPr>
            </w:pPr>
            <w:r w:rsidRPr="00B74E3F">
              <w:rPr>
                <w:rFonts w:ascii="Arial" w:hAnsi="Arial"/>
                <w:color w:val="000000"/>
                <w:szCs w:val="13"/>
              </w:rPr>
              <w:t>-2.5</w:t>
            </w:r>
          </w:p>
        </w:tc>
      </w:tr>
      <w:tr w:rsidR="004311B7" w:rsidRPr="00B74E3F" w14:paraId="1E13A361" w14:textId="0B1C7E50" w:rsidTr="00BB29F3">
        <w:trPr>
          <w:trHeight w:val="8"/>
        </w:trPr>
        <w:tc>
          <w:tcPr>
            <w:tcW w:w="5812" w:type="dxa"/>
            <w:tcBorders>
              <w:top w:val="single" w:sz="6" w:space="0" w:color="000000"/>
              <w:left w:val="none" w:sz="0" w:space="0" w:color="000000"/>
              <w:bottom w:val="none" w:sz="0" w:space="0" w:color="000000"/>
              <w:right w:val="none" w:sz="0" w:space="0" w:color="000000"/>
            </w:tcBorders>
            <w:shd w:val="clear" w:color="auto" w:fill="FFFFFF"/>
            <w:vAlign w:val="bottom"/>
          </w:tcPr>
          <w:p w14:paraId="69B3819D" w14:textId="77777777" w:rsidR="004311B7" w:rsidRPr="00B74E3F" w:rsidRDefault="004311B7" w:rsidP="004311B7">
            <w:pPr>
              <w:pStyle w:val="TDummyRow"/>
              <w:jc w:val="left"/>
              <w:rPr>
                <w:rFonts w:ascii="Arial" w:hAnsi="Arial" w:cs="Arial"/>
              </w:rPr>
            </w:pPr>
          </w:p>
        </w:tc>
        <w:tc>
          <w:tcPr>
            <w:tcW w:w="1276" w:type="dxa"/>
            <w:gridSpan w:val="2"/>
            <w:tcBorders>
              <w:top w:val="single" w:sz="6" w:space="0" w:color="000000"/>
              <w:left w:val="none" w:sz="0" w:space="0" w:color="000000"/>
              <w:bottom w:val="none" w:sz="0" w:space="0" w:color="000000"/>
              <w:right w:val="none" w:sz="0" w:space="0" w:color="000000"/>
            </w:tcBorders>
            <w:shd w:val="clear" w:color="auto" w:fill="FFFFFF"/>
            <w:vAlign w:val="bottom"/>
          </w:tcPr>
          <w:p w14:paraId="268061C4" w14:textId="77777777" w:rsidR="004311B7" w:rsidRPr="00B74E3F" w:rsidRDefault="004311B7" w:rsidP="004311B7">
            <w:pPr>
              <w:pStyle w:val="TDummyRow"/>
              <w:jc w:val="left"/>
              <w:rPr>
                <w:rFonts w:ascii="Arial" w:hAnsi="Arial" w:cs="Arial"/>
              </w:rPr>
            </w:pPr>
          </w:p>
        </w:tc>
        <w:tc>
          <w:tcPr>
            <w:tcW w:w="1276" w:type="dxa"/>
            <w:gridSpan w:val="2"/>
            <w:tcBorders>
              <w:top w:val="single" w:sz="6" w:space="0" w:color="000000"/>
              <w:left w:val="none" w:sz="0" w:space="0" w:color="000000"/>
              <w:bottom w:val="none" w:sz="0" w:space="0" w:color="000000"/>
              <w:right w:val="none" w:sz="0" w:space="0" w:color="000000"/>
            </w:tcBorders>
            <w:shd w:val="clear" w:color="auto" w:fill="FFFFFF"/>
            <w:vAlign w:val="bottom"/>
          </w:tcPr>
          <w:p w14:paraId="26336E1A" w14:textId="77777777" w:rsidR="004311B7" w:rsidRPr="00B74E3F" w:rsidRDefault="004311B7" w:rsidP="004311B7">
            <w:pPr>
              <w:pStyle w:val="TDummyRow"/>
              <w:jc w:val="left"/>
              <w:rPr>
                <w:rFonts w:ascii="Arial" w:hAnsi="Arial" w:cs="Arial"/>
              </w:rPr>
            </w:pPr>
          </w:p>
        </w:tc>
        <w:tc>
          <w:tcPr>
            <w:tcW w:w="1102" w:type="dxa"/>
            <w:tcBorders>
              <w:top w:val="single" w:sz="6" w:space="0" w:color="000000"/>
              <w:left w:val="none" w:sz="0" w:space="0" w:color="000000"/>
              <w:bottom w:val="none" w:sz="0" w:space="0" w:color="000000"/>
              <w:right w:val="none" w:sz="0" w:space="0" w:color="000000"/>
            </w:tcBorders>
            <w:shd w:val="clear" w:color="auto" w:fill="FFFFFF"/>
          </w:tcPr>
          <w:p w14:paraId="5F267364" w14:textId="77777777" w:rsidR="004311B7" w:rsidRPr="00B74E3F" w:rsidRDefault="004311B7" w:rsidP="004311B7">
            <w:pPr>
              <w:pStyle w:val="TDummyRow"/>
              <w:jc w:val="left"/>
              <w:rPr>
                <w:rFonts w:ascii="Arial" w:hAnsi="Arial" w:cs="Arial"/>
              </w:rPr>
            </w:pPr>
          </w:p>
        </w:tc>
      </w:tr>
    </w:tbl>
    <w:bookmarkEnd w:id="3"/>
    <w:bookmarkEnd w:id="4"/>
    <w:p w14:paraId="0BDFE238" w14:textId="26F647B3" w:rsidR="002D048A" w:rsidRDefault="00B1655B" w:rsidP="00B1655B">
      <w:pPr>
        <w:pStyle w:val="TNote"/>
        <w:rPr>
          <w:rFonts w:ascii="Arial" w:hAnsi="Arial"/>
        </w:rPr>
      </w:pPr>
      <w:r w:rsidRPr="00B74E3F">
        <w:rPr>
          <w:rFonts w:ascii="Arial" w:hAnsi="Arial"/>
        </w:rPr>
        <w:t>1</w:t>
      </w:r>
      <w:r w:rsidRPr="00B74E3F">
        <w:rPr>
          <w:rFonts w:ascii="Arial" w:hAnsi="Arial"/>
        </w:rPr>
        <w:tab/>
      </w:r>
      <w:r w:rsidR="002D048A" w:rsidRPr="00B74E3F">
        <w:rPr>
          <w:rFonts w:ascii="Arial" w:hAnsi="Arial"/>
        </w:rPr>
        <w:t>Capital expenditure on property, plant and equipment, and software.</w:t>
      </w:r>
    </w:p>
    <w:p w14:paraId="726F8219" w14:textId="601420E3" w:rsidR="00B1655B" w:rsidRPr="00B74E3F" w:rsidRDefault="002D048A" w:rsidP="00B1655B">
      <w:pPr>
        <w:pStyle w:val="TNote"/>
        <w:rPr>
          <w:rFonts w:ascii="Arial" w:hAnsi="Arial" w:cs="Arial"/>
        </w:rPr>
      </w:pPr>
      <w:r>
        <w:rPr>
          <w:rFonts w:ascii="Arial" w:hAnsi="Arial"/>
        </w:rPr>
        <w:t>2</w:t>
      </w:r>
      <w:r w:rsidRPr="00B74E3F">
        <w:rPr>
          <w:rFonts w:ascii="Arial" w:hAnsi="Arial"/>
        </w:rPr>
        <w:tab/>
      </w:r>
      <w:r w:rsidR="00B1655B" w:rsidRPr="00B74E3F">
        <w:rPr>
          <w:rFonts w:ascii="Arial" w:hAnsi="Arial"/>
        </w:rPr>
        <w:t>Before changes in the scope of consolidation.</w:t>
      </w:r>
    </w:p>
    <w:p w14:paraId="3ADEEC53" w14:textId="201DB2DB" w:rsidR="00B1655B" w:rsidRPr="00B74E3F" w:rsidRDefault="002D048A" w:rsidP="00B1655B">
      <w:pPr>
        <w:pStyle w:val="TNote"/>
        <w:rPr>
          <w:rFonts w:ascii="Arial" w:hAnsi="Arial" w:cs="Arial"/>
        </w:rPr>
      </w:pPr>
      <w:r>
        <w:rPr>
          <w:rFonts w:ascii="Arial" w:hAnsi="Arial"/>
        </w:rPr>
        <w:t>3</w:t>
      </w:r>
      <w:r w:rsidR="00B1655B" w:rsidRPr="00B74E3F">
        <w:rPr>
          <w:rFonts w:ascii="Arial" w:hAnsi="Arial"/>
        </w:rPr>
        <w:tab/>
        <w:t xml:space="preserve">Before amortization of intangible assets from purchase price allocation (PPA), changes in the scope of consolidation, and special effects. </w:t>
      </w:r>
    </w:p>
    <w:p w14:paraId="0E0BEC1C" w14:textId="4D916C01" w:rsidR="002C4773" w:rsidRPr="008F08E6" w:rsidRDefault="002D048A" w:rsidP="008F08E6">
      <w:pPr>
        <w:pStyle w:val="TNote"/>
        <w:rPr>
          <w:rFonts w:ascii="Arial" w:hAnsi="Arial" w:cs="Arial"/>
        </w:rPr>
      </w:pPr>
      <w:r>
        <w:rPr>
          <w:rFonts w:ascii="Arial" w:hAnsi="Arial"/>
        </w:rPr>
        <w:t>4</w:t>
      </w:r>
      <w:r w:rsidR="00B1655B" w:rsidRPr="00B74E3F">
        <w:rPr>
          <w:rFonts w:ascii="Arial" w:hAnsi="Arial"/>
        </w:rPr>
        <w:tab/>
        <w:t>Excluding trainees.</w:t>
      </w:r>
      <w:bookmarkStart w:id="5" w:name="_FLink_1T_cYbgzPräYSÜ5WqPrBf_1"/>
      <w:bookmarkEnd w:id="5"/>
    </w:p>
    <w:p w14:paraId="5B1502F5" w14:textId="0C7399D9" w:rsidR="002C4773" w:rsidRPr="00B74E3F" w:rsidRDefault="002C4773" w:rsidP="002C4773">
      <w:pPr>
        <w:pStyle w:val="04-Subhead"/>
        <w:rPr>
          <w:szCs w:val="22"/>
        </w:rPr>
      </w:pPr>
      <w:r w:rsidRPr="00B74E3F">
        <w:t>Production still halted at about one-fifth of all locations worldwide</w:t>
      </w:r>
    </w:p>
    <w:p w14:paraId="501F599A" w14:textId="28559A92" w:rsidR="002C4773" w:rsidRPr="00B74E3F" w:rsidRDefault="002C4773" w:rsidP="002C4773">
      <w:pPr>
        <w:pStyle w:val="03-Text"/>
        <w:rPr>
          <w:rFonts w:eastAsia="Times New Roman"/>
          <w:u w:val="single"/>
        </w:rPr>
      </w:pPr>
      <w:r w:rsidRPr="00B74E3F">
        <w:t xml:space="preserve">As a result of the coronavirus pandemic, Continental temporarily ceased activities starting mid-March at more than 40 percent of Continental’s 249 production locations worldwide for a few days to several weeks in order to protect employees and in response to the </w:t>
      </w:r>
      <w:proofErr w:type="gramStart"/>
      <w:r w:rsidRPr="00B74E3F">
        <w:t>drop in</w:t>
      </w:r>
      <w:proofErr w:type="gramEnd"/>
      <w:r w:rsidRPr="00B74E3F">
        <w:t xml:space="preserve"> demand. The company has recently resumed production at many locations. </w:t>
      </w:r>
      <w:r w:rsidRPr="00B74E3F">
        <w:rPr>
          <w:shd w:val="clear" w:color="auto" w:fill="FFFFFF"/>
        </w:rPr>
        <w:t>“An industry-wide resumption of production from a standstill is unchartered territory for everyone. We have been preparing intensively for this for weeks. It will succeed if all elements of the supply chain mesh properly at the same time and the safety of employees is ensured. It is therefore vital that business leaders and lawmakers coordinate closely at the national and international level,” Degenhart stressed.</w:t>
      </w:r>
    </w:p>
    <w:p w14:paraId="5DBD58A9" w14:textId="73F20FD0" w:rsidR="002C4773" w:rsidRPr="00B74E3F" w:rsidRDefault="002C4773" w:rsidP="002C4773">
      <w:pPr>
        <w:pStyle w:val="03-Text"/>
        <w:rPr>
          <w:szCs w:val="22"/>
        </w:rPr>
      </w:pPr>
      <w:r w:rsidRPr="00B74E3F">
        <w:lastRenderedPageBreak/>
        <w:t xml:space="preserve">As of the beginning of May, production </w:t>
      </w:r>
      <w:proofErr w:type="gramStart"/>
      <w:r w:rsidRPr="00B74E3F">
        <w:t>still remains</w:t>
      </w:r>
      <w:proofErr w:type="gramEnd"/>
      <w:r w:rsidRPr="00B74E3F">
        <w:t xml:space="preserve"> temporarily halted at one-fifth of Continental’s 249 production locations worldwide, primarily at locations in North America, Russia and India. In Germany, production is still on hold only at one location.</w:t>
      </w:r>
    </w:p>
    <w:p w14:paraId="43FF44EE" w14:textId="77777777" w:rsidR="002C4773" w:rsidRPr="00B74E3F" w:rsidRDefault="002C4773" w:rsidP="002C4773">
      <w:pPr>
        <w:pStyle w:val="03-Text"/>
        <w:rPr>
          <w:shd w:val="clear" w:color="auto" w:fill="FFFFFF"/>
        </w:rPr>
      </w:pPr>
      <w:r w:rsidRPr="00B74E3F">
        <w:rPr>
          <w:shd w:val="clear" w:color="auto" w:fill="FFFFFF"/>
        </w:rPr>
        <w:t xml:space="preserve">Due to the temporary production interruption and lower demand, about 60 percent of Continental’s nearly 240,000 employees worldwide are currently working reduced hours. In Germany, about 30,000 employees in all company functions worked six days less on average in April as part of the short-time work scheme. Due to the coronavirus pandemic and the ongoing uncertain economic environment, Continental will continue to make use of </w:t>
      </w:r>
      <w:proofErr w:type="gramStart"/>
      <w:r w:rsidRPr="00B74E3F">
        <w:rPr>
          <w:shd w:val="clear" w:color="auto" w:fill="FFFFFF"/>
        </w:rPr>
        <w:t>short-time</w:t>
      </w:r>
      <w:proofErr w:type="gramEnd"/>
      <w:r w:rsidRPr="00B74E3F">
        <w:rPr>
          <w:shd w:val="clear" w:color="auto" w:fill="FFFFFF"/>
        </w:rPr>
        <w:t xml:space="preserve"> work here in May. The extent to which short-time work is utilized depends on local conditions.</w:t>
      </w:r>
    </w:p>
    <w:p w14:paraId="330429C4" w14:textId="77777777" w:rsidR="002C4773" w:rsidRPr="00B74E3F" w:rsidRDefault="002C4773" w:rsidP="002C4773">
      <w:pPr>
        <w:pStyle w:val="04-Subhead"/>
      </w:pPr>
      <w:r w:rsidRPr="00B74E3F">
        <w:t>Executive Board forgoes portion of salary for another three months</w:t>
      </w:r>
    </w:p>
    <w:p w14:paraId="41C30CBC" w14:textId="55028760" w:rsidR="002C4773" w:rsidRPr="00B74E3F" w:rsidRDefault="002C4773" w:rsidP="002C4773">
      <w:pPr>
        <w:pStyle w:val="03-Text"/>
      </w:pPr>
      <w:r w:rsidRPr="00B74E3F">
        <w:t xml:space="preserve">As a sign of solidarity with Continental’s employees who have been affected by the </w:t>
      </w:r>
      <w:r w:rsidR="00462960" w:rsidRPr="00B74E3F">
        <w:t>coronavirus pandemic</w:t>
      </w:r>
      <w:r w:rsidRPr="00B74E3F">
        <w:t>, the Executive Board has decided to extend its original one-month waiver of 10 percent of fixed salary by a further three months until the end of July.</w:t>
      </w:r>
    </w:p>
    <w:p w14:paraId="6F85D4A1" w14:textId="06101B8A" w:rsidR="00B80BC7" w:rsidRPr="00B74E3F" w:rsidRDefault="00B80BC7" w:rsidP="00B80BC7">
      <w:pPr>
        <w:pStyle w:val="04-Subhead"/>
      </w:pPr>
      <w:r w:rsidRPr="00B74E3F">
        <w:t>Global protective strategy for production</w:t>
      </w:r>
    </w:p>
    <w:p w14:paraId="00CB10C8" w14:textId="68D9CFC3" w:rsidR="00B80BC7" w:rsidRPr="00B74E3F" w:rsidRDefault="00B80BC7" w:rsidP="00B80BC7">
      <w:pPr>
        <w:pStyle w:val="03-Text"/>
      </w:pPr>
      <w:r w:rsidRPr="00B74E3F">
        <w:t xml:space="preserve">To ensure safe production during a pandemic, the company has developed a comprehensive strategy that already applies to at all locations worldwide. </w:t>
      </w:r>
      <w:bookmarkStart w:id="6" w:name="_Hlk39480652"/>
      <w:r w:rsidRPr="00B74E3F">
        <w:t>Based upon a hazard assessment of all workplaces, a broad range of suitable protective measures are being implemented, such as the installation of Plexiglas dividers, a substantial increase in the frequency of cleaning at all locations, shortened or staggered shifts, shift handovers without any personal contact, and longer canteen opening times and greater distance between seating in canteens and break rooms.</w:t>
      </w:r>
      <w:bookmarkEnd w:id="6"/>
    </w:p>
    <w:p w14:paraId="6A911332" w14:textId="730A79DD" w:rsidR="00B80BC7" w:rsidRPr="00B74E3F" w:rsidRDefault="00B80BC7" w:rsidP="00B80BC7">
      <w:pPr>
        <w:pStyle w:val="03-Text"/>
      </w:pPr>
      <w:r w:rsidRPr="00B74E3F">
        <w:t xml:space="preserve">Most employees who do not work in production are working from home wherever feasible in order to minimize personal contact at work. A global strategy ensures employees have </w:t>
      </w:r>
      <w:proofErr w:type="gramStart"/>
      <w:r w:rsidRPr="00B74E3F">
        <w:t>sufficient</w:t>
      </w:r>
      <w:proofErr w:type="gramEnd"/>
      <w:r w:rsidRPr="00B74E3F">
        <w:t xml:space="preserve"> health protection while carrying out certain tasks in all of the company’s facilities.</w:t>
      </w:r>
    </w:p>
    <w:p w14:paraId="5A9A4A17" w14:textId="084F1246" w:rsidR="00B80BC7" w:rsidRPr="00B74E3F" w:rsidRDefault="00FE349F" w:rsidP="00B80BC7">
      <w:pPr>
        <w:pStyle w:val="04-Subhead"/>
      </w:pPr>
      <w:r w:rsidRPr="00B74E3F">
        <w:lastRenderedPageBreak/>
        <w:t>Protective masks: own requirements covered by in-house production</w:t>
      </w:r>
    </w:p>
    <w:p w14:paraId="61B697BD" w14:textId="211BF4F9" w:rsidR="00B80BC7" w:rsidRPr="00B74E3F" w:rsidRDefault="00B80BC7" w:rsidP="00B80BC7">
      <w:pPr>
        <w:pStyle w:val="03-Text"/>
      </w:pPr>
      <w:r w:rsidRPr="00B74E3F">
        <w:t xml:space="preserve">Continental’s protection strategy stipulates the use of protective masks. The various mask types to be used will depend on the risk assessment of the workplace. </w:t>
      </w:r>
      <w:bookmarkStart w:id="7" w:name="_Hlk39481001"/>
      <w:r w:rsidRPr="00B74E3F">
        <w:t xml:space="preserve">Continental will cover its additional requirements for protective masks with its own production from September 2020 onwards. </w:t>
      </w:r>
      <w:bookmarkEnd w:id="7"/>
      <w:r w:rsidRPr="00B74E3F">
        <w:t xml:space="preserve">“We decided to produce our own masks in order to protect the health and safety of our employees. At the same time, we want to help alleviate the tense situation on the free market for protective masks, which are urgently needed in the healthcare sector,” Degenhart said. To cover its own needs for nearly one million </w:t>
      </w:r>
      <w:proofErr w:type="spellStart"/>
      <w:r w:rsidRPr="00B74E3F">
        <w:t>masks</w:t>
      </w:r>
      <w:proofErr w:type="spellEnd"/>
      <w:r w:rsidRPr="00B74E3F">
        <w:t xml:space="preserve"> per week, Continental is setting up production lines in Germany, U.S.A. and China.</w:t>
      </w:r>
    </w:p>
    <w:p w14:paraId="6C1DBEBE" w14:textId="29C7CC91" w:rsidR="006C041B" w:rsidRPr="00B74E3F" w:rsidRDefault="00641B64" w:rsidP="000908D0">
      <w:pPr>
        <w:pStyle w:val="03-Text"/>
        <w:rPr>
          <w:shd w:val="clear" w:color="auto" w:fill="FFFFFF"/>
        </w:rPr>
      </w:pPr>
      <w:r w:rsidRPr="00B74E3F">
        <w:rPr>
          <w:shd w:val="clear" w:color="auto" w:fill="FFFFFF"/>
        </w:rPr>
        <w:t>As at the end of the first quarter of 2020, the Continental Group had 239,649 employees, representing a decline of 1,809 in comparison to the end of 2019.</w:t>
      </w:r>
    </w:p>
    <w:p w14:paraId="2A33B3BC" w14:textId="082F51BB" w:rsidR="00285167" w:rsidRPr="00B74E3F" w:rsidRDefault="0028393C" w:rsidP="009D7033">
      <w:pPr>
        <w:pStyle w:val="04-Subhead"/>
        <w:rPr>
          <w:rFonts w:cs="Arial"/>
          <w:szCs w:val="22"/>
        </w:rPr>
      </w:pPr>
      <w:bookmarkStart w:id="8" w:name="_Hlk39586306"/>
      <w:r w:rsidRPr="00B74E3F">
        <w:t>Key figures for the group sectors</w:t>
      </w:r>
    </w:p>
    <w:tbl>
      <w:tblPr>
        <w:tblOverlap w:val="never"/>
        <w:tblW w:w="9674" w:type="dxa"/>
        <w:tblLayout w:type="fixed"/>
        <w:tblCellMar>
          <w:left w:w="0" w:type="dxa"/>
          <w:right w:w="0" w:type="dxa"/>
        </w:tblCellMar>
        <w:tblLook w:val="04A0" w:firstRow="1" w:lastRow="0" w:firstColumn="1" w:lastColumn="0" w:noHBand="0" w:noVBand="1"/>
        <w:tblDescription w:val="_FLink_1T_UQkEHcZ5DuZöDöNciU_1&#10;_FLink_1T_UW8öYUXVPJFüüXajbJ_1"/>
      </w:tblPr>
      <w:tblGrid>
        <w:gridCol w:w="5567"/>
        <w:gridCol w:w="1369"/>
        <w:gridCol w:w="1369"/>
        <w:gridCol w:w="1369"/>
      </w:tblGrid>
      <w:tr w:rsidR="00A538A1" w:rsidRPr="00B74E3F" w14:paraId="5E8CA12B" w14:textId="6700FBDD" w:rsidTr="00FF6E37">
        <w:trPr>
          <w:trHeight w:val="343"/>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36623887" w14:textId="77777777" w:rsidR="00A538A1" w:rsidRPr="00B74E3F" w:rsidRDefault="00A538A1" w:rsidP="00725F48">
            <w:pPr>
              <w:pStyle w:val="THeadfirstText"/>
              <w:rPr>
                <w:rFonts w:ascii="Arial" w:hAnsi="Arial" w:cs="Arial"/>
              </w:rPr>
            </w:pPr>
            <w:r w:rsidRPr="00B74E3F">
              <w:rPr>
                <w:rFonts w:ascii="Arial" w:hAnsi="Arial"/>
              </w:rPr>
              <w:t> </w:t>
            </w: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2BCB3DC1" w14:textId="33970A52" w:rsidR="00A538A1" w:rsidRPr="00B74E3F" w:rsidRDefault="00A538A1" w:rsidP="00725F48">
            <w:pPr>
              <w:pStyle w:val="THeadfirstNumber"/>
              <w:jc w:val="center"/>
              <w:rPr>
                <w:rFonts w:ascii="Arial" w:hAnsi="Arial" w:cs="Arial"/>
              </w:rPr>
            </w:pPr>
            <w:r w:rsidRPr="00B74E3F">
              <w:rPr>
                <w:rFonts w:ascii="Arial" w:hAnsi="Arial"/>
              </w:rPr>
              <w:t>January 1 to March 31</w:t>
            </w:r>
          </w:p>
        </w:tc>
      </w:tr>
      <w:tr w:rsidR="00285167" w:rsidRPr="00B74E3F" w14:paraId="3FC728A2" w14:textId="0B1C9C77" w:rsidTr="00BB29F3">
        <w:trPr>
          <w:trHeight w:val="228"/>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540FCF5A" w14:textId="77777777" w:rsidR="00285167" w:rsidRPr="00B74E3F" w:rsidRDefault="00285167" w:rsidP="00725F48">
            <w:pPr>
              <w:pStyle w:val="THeadlastText"/>
              <w:rPr>
                <w:rFonts w:ascii="Arial" w:hAnsi="Arial" w:cs="Arial"/>
                <w:b/>
                <w:bCs/>
              </w:rPr>
            </w:pPr>
            <w:r w:rsidRPr="00B74E3F">
              <w:rPr>
                <w:rFonts w:ascii="Arial" w:hAnsi="Arial"/>
                <w:b/>
                <w:bCs/>
              </w:rPr>
              <w:t>Automotive Technologies in € millions</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D929CA3" w14:textId="77777777" w:rsidR="00285167" w:rsidRPr="00B74E3F" w:rsidRDefault="00285167" w:rsidP="00725F48">
            <w:pPr>
              <w:pStyle w:val="THeadlastNumber"/>
              <w:rPr>
                <w:rFonts w:ascii="Arial" w:hAnsi="Arial" w:cs="Arial"/>
              </w:rPr>
            </w:pPr>
            <w:r w:rsidRPr="00B74E3F">
              <w:rPr>
                <w:rFonts w:ascii="Arial" w:hAnsi="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C901D76" w14:textId="77777777" w:rsidR="00285167" w:rsidRPr="00B74E3F" w:rsidRDefault="00285167" w:rsidP="00725F48">
            <w:pPr>
              <w:pStyle w:val="THeadlastNumber"/>
              <w:rPr>
                <w:rFonts w:ascii="Arial" w:hAnsi="Arial" w:cs="Arial"/>
              </w:rPr>
            </w:pPr>
            <w:r w:rsidRPr="00B74E3F">
              <w:rPr>
                <w:rFonts w:ascii="Arial" w:hAnsi="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FFFFFF"/>
          </w:tcPr>
          <w:p w14:paraId="63AB3142" w14:textId="3BF0BB9E" w:rsidR="00285167" w:rsidRPr="00B74E3F" w:rsidRDefault="00285167" w:rsidP="00725F48">
            <w:pPr>
              <w:pStyle w:val="THeadlastNumber"/>
              <w:rPr>
                <w:rFonts w:ascii="Arial" w:hAnsi="Arial" w:cs="Arial"/>
              </w:rPr>
            </w:pPr>
            <w:r w:rsidRPr="00B74E3F">
              <w:rPr>
                <w:rFonts w:ascii="Arial" w:hAnsi="Arial"/>
              </w:rPr>
              <w:t>Δ in %</w:t>
            </w:r>
          </w:p>
        </w:tc>
      </w:tr>
      <w:tr w:rsidR="00307BC9" w:rsidRPr="00B74E3F" w14:paraId="42A755A8" w14:textId="5F2B41CE" w:rsidTr="00BB29F3">
        <w:trPr>
          <w:trHeight w:val="228"/>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566EB6ED" w14:textId="77777777" w:rsidR="00307BC9" w:rsidRPr="00B74E3F" w:rsidRDefault="00307BC9" w:rsidP="00307BC9">
            <w:pPr>
              <w:pStyle w:val="TBodynormalText"/>
              <w:rPr>
                <w:rFonts w:ascii="Arial" w:hAnsi="Arial" w:cs="Arial"/>
              </w:rPr>
            </w:pPr>
            <w:r w:rsidRPr="00B74E3F">
              <w:rPr>
                <w:rFonts w:ascii="Arial" w:hAnsi="Arial"/>
              </w:rPr>
              <w:t>Sales</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706C8766" w14:textId="77777777" w:rsidR="00307BC9" w:rsidRPr="00B74E3F" w:rsidRDefault="00307BC9" w:rsidP="00307BC9">
            <w:pPr>
              <w:pStyle w:val="TBodynormalNumber"/>
              <w:rPr>
                <w:rFonts w:ascii="Arial" w:hAnsi="Arial" w:cs="Arial"/>
              </w:rPr>
            </w:pPr>
            <w:r w:rsidRPr="00B74E3F">
              <w:rPr>
                <w:rFonts w:ascii="Arial" w:hAnsi="Arial"/>
              </w:rPr>
              <w:t>4,111.7</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0E934413" w14:textId="77777777" w:rsidR="00307BC9" w:rsidRPr="00B74E3F" w:rsidRDefault="00307BC9" w:rsidP="00307BC9">
            <w:pPr>
              <w:pStyle w:val="TBodynormalNumber"/>
              <w:rPr>
                <w:rFonts w:ascii="Arial" w:hAnsi="Arial" w:cs="Arial"/>
              </w:rPr>
            </w:pPr>
            <w:r w:rsidRPr="00B74E3F">
              <w:rPr>
                <w:rFonts w:ascii="Arial" w:hAnsi="Arial"/>
              </w:rPr>
              <w:t>4,737.8</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1988767F" w14:textId="2A180312" w:rsidR="00307BC9" w:rsidRPr="00B74E3F" w:rsidRDefault="00307BC9" w:rsidP="00307BC9">
            <w:pPr>
              <w:pStyle w:val="TBodynormalNumber"/>
              <w:rPr>
                <w:rFonts w:ascii="Arial" w:hAnsi="Arial" w:cs="Arial"/>
              </w:rPr>
            </w:pPr>
            <w:r w:rsidRPr="00B74E3F">
              <w:rPr>
                <w:rFonts w:ascii="Arial" w:hAnsi="Arial"/>
                <w:color w:val="000000"/>
                <w:szCs w:val="13"/>
              </w:rPr>
              <w:t>-13.2</w:t>
            </w:r>
          </w:p>
        </w:tc>
      </w:tr>
      <w:tr w:rsidR="00307BC9" w:rsidRPr="00B74E3F" w14:paraId="04D5D1B0" w14:textId="36EE48CB"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88DF62F" w14:textId="77777777" w:rsidR="00307BC9" w:rsidRPr="00B74E3F" w:rsidRDefault="00307BC9" w:rsidP="00307BC9">
            <w:pPr>
              <w:pStyle w:val="TBodynormalText"/>
              <w:rPr>
                <w:rFonts w:ascii="Arial" w:hAnsi="Arial" w:cs="Arial"/>
              </w:rPr>
            </w:pPr>
            <w:r w:rsidRPr="00B74E3F">
              <w:rPr>
                <w:rFonts w:ascii="Arial" w:hAnsi="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92A2EFB" w14:textId="77777777" w:rsidR="00307BC9" w:rsidRPr="00B74E3F" w:rsidRDefault="00307BC9" w:rsidP="00307BC9">
            <w:pPr>
              <w:pStyle w:val="TBodynormalNumber"/>
              <w:rPr>
                <w:rFonts w:ascii="Arial" w:hAnsi="Arial" w:cs="Arial"/>
              </w:rPr>
            </w:pPr>
            <w:r w:rsidRPr="00B74E3F">
              <w:rPr>
                <w:rFonts w:ascii="Arial" w:hAnsi="Arial"/>
              </w:rPr>
              <w:t>427.4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2593F15" w14:textId="77777777" w:rsidR="00307BC9" w:rsidRPr="00B74E3F" w:rsidRDefault="00307BC9" w:rsidP="00307BC9">
            <w:pPr>
              <w:pStyle w:val="TBodynormalNumber"/>
              <w:rPr>
                <w:rFonts w:ascii="Arial" w:hAnsi="Arial" w:cs="Arial"/>
              </w:rPr>
            </w:pPr>
            <w:r w:rsidRPr="00B74E3F">
              <w:rPr>
                <w:rFonts w:ascii="Arial" w:hAnsi="Arial"/>
              </w:rPr>
              <w:t>505.5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E6B578E" w14:textId="763A9D02" w:rsidR="00307BC9" w:rsidRPr="00B74E3F" w:rsidRDefault="00307BC9" w:rsidP="00307BC9">
            <w:pPr>
              <w:pStyle w:val="TBodynormalNumber"/>
              <w:rPr>
                <w:rFonts w:ascii="Arial" w:hAnsi="Arial" w:cs="Arial"/>
              </w:rPr>
            </w:pPr>
            <w:r w:rsidRPr="00B74E3F">
              <w:rPr>
                <w:rFonts w:ascii="Arial" w:hAnsi="Arial"/>
                <w:color w:val="000000"/>
                <w:szCs w:val="13"/>
              </w:rPr>
              <w:t>-15.5</w:t>
            </w:r>
          </w:p>
        </w:tc>
      </w:tr>
      <w:tr w:rsidR="00307BC9" w:rsidRPr="00B74E3F" w14:paraId="1F540804" w14:textId="3B555039"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9DA043D" w14:textId="77777777" w:rsidR="00307BC9" w:rsidRPr="00B74E3F" w:rsidRDefault="00307BC9" w:rsidP="00307BC9">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BE14D95" w14:textId="77777777" w:rsidR="00307BC9" w:rsidRPr="00B74E3F" w:rsidRDefault="00307BC9" w:rsidP="00307BC9">
            <w:pPr>
              <w:pStyle w:val="TBodynormalNumber"/>
              <w:rPr>
                <w:rFonts w:ascii="Arial" w:hAnsi="Arial" w:cs="Arial"/>
              </w:rPr>
            </w:pPr>
            <w:r w:rsidRPr="00B74E3F">
              <w:rPr>
                <w:rFonts w:ascii="Arial" w:hAnsi="Arial"/>
              </w:rPr>
              <w:t>10.4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6A3A86" w14:textId="77777777" w:rsidR="00307BC9" w:rsidRPr="00B74E3F" w:rsidRDefault="00307BC9" w:rsidP="00307BC9">
            <w:pPr>
              <w:pStyle w:val="TBodynormalNumber"/>
              <w:rPr>
                <w:rFonts w:ascii="Arial" w:hAnsi="Arial" w:cs="Arial"/>
              </w:rPr>
            </w:pPr>
            <w:r w:rsidRPr="00B74E3F">
              <w:rPr>
                <w:rFonts w:ascii="Arial" w:hAnsi="Arial"/>
              </w:rPr>
              <w:t>10.7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2F361D0" w14:textId="7887F233"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65646F20" w14:textId="0ED98FA5"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5C43321" w14:textId="77777777" w:rsidR="00307BC9" w:rsidRPr="00B74E3F" w:rsidRDefault="00307BC9" w:rsidP="00307BC9">
            <w:pPr>
              <w:pStyle w:val="TBodynormalText"/>
              <w:rPr>
                <w:rFonts w:ascii="Arial" w:hAnsi="Arial" w:cs="Arial"/>
              </w:rPr>
            </w:pPr>
            <w:r w:rsidRPr="00B74E3F">
              <w:rPr>
                <w:rFonts w:ascii="Arial" w:hAnsi="Arial"/>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2EA633E" w14:textId="77777777" w:rsidR="00307BC9" w:rsidRPr="00B74E3F" w:rsidRDefault="00307BC9" w:rsidP="00307BC9">
            <w:pPr>
              <w:pStyle w:val="TBodynormalNumber"/>
              <w:rPr>
                <w:rFonts w:ascii="Arial" w:hAnsi="Arial" w:cs="Arial"/>
              </w:rPr>
            </w:pPr>
            <w:r w:rsidRPr="00B74E3F">
              <w:rPr>
                <w:rFonts w:ascii="Arial" w:hAnsi="Arial"/>
              </w:rPr>
              <w:t>151.2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4EDE483" w14:textId="77777777" w:rsidR="00307BC9" w:rsidRPr="00B74E3F" w:rsidRDefault="00307BC9" w:rsidP="00307BC9">
            <w:pPr>
              <w:pStyle w:val="TBodynormalNumber"/>
              <w:rPr>
                <w:rFonts w:ascii="Arial" w:hAnsi="Arial" w:cs="Arial"/>
              </w:rPr>
            </w:pPr>
            <w:r w:rsidRPr="00B74E3F">
              <w:rPr>
                <w:rFonts w:ascii="Arial" w:hAnsi="Arial"/>
              </w:rPr>
              <w:t>260.1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B6876BF" w14:textId="41A63CE7" w:rsidR="00307BC9" w:rsidRPr="00B74E3F" w:rsidRDefault="00307BC9" w:rsidP="00307BC9">
            <w:pPr>
              <w:pStyle w:val="TBodynormalNumber"/>
              <w:rPr>
                <w:rFonts w:ascii="Arial" w:hAnsi="Arial" w:cs="Arial"/>
              </w:rPr>
            </w:pPr>
            <w:r w:rsidRPr="00B74E3F">
              <w:rPr>
                <w:rFonts w:ascii="Arial" w:hAnsi="Arial"/>
                <w:color w:val="000000"/>
                <w:szCs w:val="13"/>
              </w:rPr>
              <w:t>-41.9</w:t>
            </w:r>
          </w:p>
        </w:tc>
      </w:tr>
      <w:tr w:rsidR="00307BC9" w:rsidRPr="00B74E3F" w14:paraId="2382C50B" w14:textId="2D91121E"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9080101" w14:textId="77777777" w:rsidR="00307BC9" w:rsidRPr="00B74E3F" w:rsidRDefault="00307BC9" w:rsidP="00307BC9">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1B7029" w14:textId="77777777" w:rsidR="00307BC9" w:rsidRPr="00B74E3F" w:rsidRDefault="00307BC9" w:rsidP="00307BC9">
            <w:pPr>
              <w:pStyle w:val="TBodynormalNumber"/>
              <w:rPr>
                <w:rFonts w:ascii="Arial" w:hAnsi="Arial" w:cs="Arial"/>
              </w:rPr>
            </w:pPr>
            <w:r w:rsidRPr="00B74E3F">
              <w:rPr>
                <w:rFonts w:ascii="Arial" w:hAnsi="Arial"/>
              </w:rPr>
              <w:t>3.7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EAAA4D7" w14:textId="77777777" w:rsidR="00307BC9" w:rsidRPr="00B74E3F" w:rsidRDefault="00307BC9" w:rsidP="00307BC9">
            <w:pPr>
              <w:pStyle w:val="TBodynormalNumber"/>
              <w:rPr>
                <w:rFonts w:ascii="Arial" w:hAnsi="Arial" w:cs="Arial"/>
              </w:rPr>
            </w:pPr>
            <w:r w:rsidRPr="00B74E3F">
              <w:rPr>
                <w:rFonts w:ascii="Arial" w:hAnsi="Arial"/>
              </w:rPr>
              <w:t>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170D28E" w14:textId="2CBC28DE"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5B5DA99F" w14:textId="73E8A57E"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ACDF110" w14:textId="37984CDA" w:rsidR="00307BC9" w:rsidRPr="00B74E3F" w:rsidRDefault="00307BC9" w:rsidP="00307BC9">
            <w:pPr>
              <w:pStyle w:val="TBodynormalText"/>
              <w:rPr>
                <w:rFonts w:ascii="Arial" w:hAnsi="Arial" w:cs="Arial"/>
              </w:rPr>
            </w:pPr>
            <w:r w:rsidRPr="00B74E3F">
              <w:rPr>
                <w:rFonts w:ascii="Arial" w:hAnsi="Arial"/>
              </w:rPr>
              <w:t>Research and development expenses (net)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9A5EA3F" w14:textId="20678BF3" w:rsidR="00307BC9" w:rsidRPr="00B74E3F" w:rsidRDefault="00307BC9" w:rsidP="00307BC9">
            <w:pPr>
              <w:pStyle w:val="TBodynormalNumber"/>
              <w:rPr>
                <w:rFonts w:ascii="Arial" w:hAnsi="Arial" w:cs="Arial"/>
              </w:rPr>
            </w:pPr>
            <w:r w:rsidRPr="00B74E3F">
              <w:rPr>
                <w:rFonts w:ascii="Arial" w:hAnsi="Arial"/>
              </w:rPr>
              <w:t>605.4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186167" w14:textId="59123E44" w:rsidR="00307BC9" w:rsidRPr="00B74E3F" w:rsidRDefault="00307BC9" w:rsidP="00307BC9">
            <w:pPr>
              <w:pStyle w:val="TBodynormalNumber"/>
              <w:rPr>
                <w:rFonts w:ascii="Arial" w:hAnsi="Arial" w:cs="Arial"/>
              </w:rPr>
            </w:pPr>
            <w:r w:rsidRPr="00B74E3F">
              <w:rPr>
                <w:rFonts w:ascii="Arial" w:hAnsi="Arial"/>
              </w:rPr>
              <w:t>601.2</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F21BE4C" w14:textId="217B4868" w:rsidR="00307BC9" w:rsidRPr="00B74E3F" w:rsidRDefault="00307BC9" w:rsidP="00307BC9">
            <w:pPr>
              <w:pStyle w:val="TBodynormalNumber"/>
              <w:rPr>
                <w:rFonts w:ascii="Arial" w:hAnsi="Arial" w:cs="Arial"/>
              </w:rPr>
            </w:pPr>
            <w:r w:rsidRPr="00B74E3F">
              <w:rPr>
                <w:rFonts w:ascii="Arial" w:hAnsi="Arial"/>
                <w:color w:val="000000"/>
                <w:szCs w:val="13"/>
              </w:rPr>
              <w:t>0.7</w:t>
            </w:r>
          </w:p>
        </w:tc>
      </w:tr>
      <w:tr w:rsidR="00307BC9" w:rsidRPr="00B74E3F" w14:paraId="2DCCDEF3" w14:textId="7AB79C68"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334126AF" w14:textId="05A95798" w:rsidR="00307BC9" w:rsidRPr="00B74E3F" w:rsidRDefault="00307BC9" w:rsidP="00BB29F3">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575CCF5" w14:textId="098826D7" w:rsidR="00307BC9" w:rsidRPr="00B74E3F" w:rsidRDefault="00307BC9" w:rsidP="00307BC9">
            <w:pPr>
              <w:pStyle w:val="TBodynormalNumber"/>
              <w:rPr>
                <w:rFonts w:ascii="Arial" w:hAnsi="Arial" w:cs="Arial"/>
              </w:rPr>
            </w:pPr>
            <w:r w:rsidRPr="00B74E3F">
              <w:rPr>
                <w:rFonts w:ascii="Arial" w:hAnsi="Arial"/>
              </w:rPr>
              <w:t>14.7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344B47C" w14:textId="04EBE0A4" w:rsidR="00307BC9" w:rsidRPr="00B74E3F" w:rsidRDefault="00307BC9" w:rsidP="00307BC9">
            <w:pPr>
              <w:pStyle w:val="TBodynormalNumber"/>
              <w:rPr>
                <w:rFonts w:ascii="Arial" w:hAnsi="Arial" w:cs="Arial"/>
              </w:rPr>
            </w:pPr>
            <w:r w:rsidRPr="00B74E3F">
              <w:rPr>
                <w:rFonts w:ascii="Arial" w:hAnsi="Arial"/>
              </w:rPr>
              <w:t>12.7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0F84128" w14:textId="23D9FC5B"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2E6D416F" w14:textId="0D02D33E"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791EB51" w14:textId="7575E5F6" w:rsidR="00307BC9" w:rsidRPr="00B74E3F" w:rsidRDefault="00307BC9" w:rsidP="00307BC9">
            <w:pPr>
              <w:pStyle w:val="TBodynormalText"/>
              <w:rPr>
                <w:rFonts w:ascii="Arial" w:hAnsi="Arial" w:cs="Arial"/>
              </w:rPr>
            </w:pPr>
            <w:r w:rsidRPr="00B74E3F">
              <w:rPr>
                <w:rFonts w:ascii="Arial" w:hAnsi="Arial"/>
              </w:rPr>
              <w:t>Capital expenditure</w:t>
            </w:r>
            <w:r w:rsidR="002D048A">
              <w:rPr>
                <w:rFonts w:ascii="Arial" w:hAnsi="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FD5081" w14:textId="77777777" w:rsidR="00307BC9" w:rsidRPr="00B74E3F" w:rsidRDefault="00307BC9" w:rsidP="00307BC9">
            <w:pPr>
              <w:pStyle w:val="TBodynormalNumber"/>
              <w:rPr>
                <w:rFonts w:ascii="Arial" w:hAnsi="Arial" w:cs="Arial"/>
              </w:rPr>
            </w:pPr>
            <w:r w:rsidRPr="00B74E3F">
              <w:rPr>
                <w:rFonts w:ascii="Arial" w:hAnsi="Arial"/>
              </w:rPr>
              <w:t>193.6</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80622AE" w14:textId="77777777" w:rsidR="00307BC9" w:rsidRPr="00B74E3F" w:rsidRDefault="00307BC9" w:rsidP="00307BC9">
            <w:pPr>
              <w:pStyle w:val="TBodynormalNumber"/>
              <w:rPr>
                <w:rFonts w:ascii="Arial" w:hAnsi="Arial" w:cs="Arial"/>
              </w:rPr>
            </w:pPr>
            <w:r w:rsidRPr="00B74E3F">
              <w:rPr>
                <w:rFonts w:ascii="Arial" w:hAnsi="Arial"/>
              </w:rPr>
              <w:t>261.9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06E9A23" w14:textId="11957322" w:rsidR="00307BC9" w:rsidRPr="00B74E3F" w:rsidRDefault="00307BC9" w:rsidP="00307BC9">
            <w:pPr>
              <w:pStyle w:val="TBodynormalNumber"/>
              <w:rPr>
                <w:rFonts w:ascii="Arial" w:hAnsi="Arial" w:cs="Arial"/>
              </w:rPr>
            </w:pPr>
            <w:r w:rsidRPr="00B74E3F">
              <w:rPr>
                <w:rFonts w:ascii="Arial" w:hAnsi="Arial"/>
                <w:color w:val="000000"/>
                <w:szCs w:val="13"/>
              </w:rPr>
              <w:t>-26.1</w:t>
            </w:r>
          </w:p>
        </w:tc>
      </w:tr>
      <w:tr w:rsidR="00307BC9" w:rsidRPr="00B74E3F" w14:paraId="2E2272B6" w14:textId="2A050733"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3073F918" w14:textId="77777777" w:rsidR="00307BC9" w:rsidRPr="00B74E3F" w:rsidRDefault="00307BC9" w:rsidP="00307BC9">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C27E947" w14:textId="77777777" w:rsidR="00307BC9" w:rsidRPr="00B74E3F" w:rsidRDefault="00307BC9" w:rsidP="00307BC9">
            <w:pPr>
              <w:pStyle w:val="TBodynormalNumber"/>
              <w:rPr>
                <w:rFonts w:ascii="Arial" w:hAnsi="Arial" w:cs="Arial"/>
              </w:rPr>
            </w:pPr>
            <w:r w:rsidRPr="00B74E3F">
              <w:rPr>
                <w:rFonts w:ascii="Arial" w:hAnsi="Arial"/>
              </w:rPr>
              <w:t>4.7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22D47A5" w14:textId="77777777" w:rsidR="00307BC9" w:rsidRPr="00B74E3F" w:rsidRDefault="00307BC9" w:rsidP="00307BC9">
            <w:pPr>
              <w:pStyle w:val="TBodynormalNumber"/>
              <w:rPr>
                <w:rFonts w:ascii="Arial" w:hAnsi="Arial" w:cs="Arial"/>
              </w:rPr>
            </w:pPr>
            <w:r w:rsidRPr="00B74E3F">
              <w:rPr>
                <w:rFonts w:ascii="Arial" w:hAnsi="Arial"/>
              </w:rPr>
              <w:t>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DF20732" w14:textId="653BFA73"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7EA8D000" w14:textId="440DC48E"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A978DED" w14:textId="53E76CAD" w:rsidR="00307BC9" w:rsidRPr="00B74E3F" w:rsidRDefault="00307BC9" w:rsidP="00307BC9">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2CA6D3" w14:textId="66DD53DF" w:rsidR="00307BC9" w:rsidRPr="00B74E3F" w:rsidRDefault="00307BC9" w:rsidP="00307BC9">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308AB85" w14:textId="5C8EA1AD" w:rsidR="00307BC9" w:rsidRPr="00B74E3F" w:rsidRDefault="00307BC9" w:rsidP="00307BC9">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F3A60BD" w14:textId="3AC7514C"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748725C4" w14:textId="3BE85D59"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D40832B" w14:textId="02A13DED" w:rsidR="00307BC9" w:rsidRPr="00B74E3F" w:rsidRDefault="00307BC9" w:rsidP="00307BC9">
            <w:pPr>
              <w:pStyle w:val="TBodynormalText"/>
              <w:rPr>
                <w:rFonts w:ascii="Arial" w:hAnsi="Arial" w:cs="Arial"/>
              </w:rPr>
            </w:pPr>
            <w:r w:rsidRPr="00B74E3F">
              <w:rPr>
                <w:rFonts w:ascii="Arial" w:hAnsi="Arial"/>
              </w:rPr>
              <w:t>Number of employees as at March 31</w:t>
            </w:r>
            <w:r w:rsidR="002D048A">
              <w:rPr>
                <w:rFonts w:ascii="Arial" w:hAnsi="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EF4DA12" w14:textId="77777777" w:rsidR="00307BC9" w:rsidRPr="00B74E3F" w:rsidRDefault="00307BC9" w:rsidP="00307BC9">
            <w:pPr>
              <w:pStyle w:val="TBodynormalNumber"/>
              <w:rPr>
                <w:rFonts w:ascii="Arial" w:hAnsi="Arial" w:cs="Arial"/>
              </w:rPr>
            </w:pPr>
            <w:r w:rsidRPr="00B74E3F">
              <w:rPr>
                <w:rFonts w:ascii="Arial" w:hAnsi="Arial"/>
              </w:rPr>
              <w:t>97,735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25EA906" w14:textId="77777777" w:rsidR="00307BC9" w:rsidRPr="00B74E3F" w:rsidRDefault="00307BC9" w:rsidP="00307BC9">
            <w:pPr>
              <w:pStyle w:val="TBodynormalNumber"/>
              <w:rPr>
                <w:rFonts w:ascii="Arial" w:hAnsi="Arial" w:cs="Arial"/>
              </w:rPr>
            </w:pPr>
            <w:r w:rsidRPr="00B74E3F">
              <w:rPr>
                <w:rFonts w:ascii="Arial" w:hAnsi="Arial"/>
              </w:rPr>
              <w:t>98,091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C51F067" w14:textId="2D6E9F6B" w:rsidR="00307BC9" w:rsidRPr="00B74E3F" w:rsidRDefault="00307BC9" w:rsidP="00307BC9">
            <w:pPr>
              <w:pStyle w:val="TBodynormalNumber"/>
              <w:rPr>
                <w:rFonts w:ascii="Arial" w:hAnsi="Arial" w:cs="Arial"/>
              </w:rPr>
            </w:pPr>
            <w:r w:rsidRPr="00B74E3F">
              <w:rPr>
                <w:rFonts w:ascii="Arial" w:hAnsi="Arial"/>
                <w:color w:val="000000"/>
                <w:szCs w:val="13"/>
              </w:rPr>
              <w:t>-0.4</w:t>
            </w:r>
          </w:p>
        </w:tc>
      </w:tr>
      <w:tr w:rsidR="00307BC9" w:rsidRPr="00B74E3F" w14:paraId="7FF9D456" w14:textId="1BD4D1BD"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FC0C131" w14:textId="77777777" w:rsidR="00307BC9" w:rsidRPr="00B74E3F" w:rsidRDefault="00307BC9" w:rsidP="00307BC9">
            <w:pPr>
              <w:pStyle w:val="TBodynormalText"/>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0C071B5" w14:textId="77777777" w:rsidR="00307BC9" w:rsidRPr="00B74E3F" w:rsidRDefault="00307BC9" w:rsidP="00307BC9">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1D6FECE" w14:textId="77777777" w:rsidR="00307BC9" w:rsidRPr="00B74E3F" w:rsidRDefault="00307BC9" w:rsidP="00307BC9">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E7F0172" w14:textId="06D22636"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307BC9" w:rsidRPr="00B74E3F" w14:paraId="624FEB58" w14:textId="0C642A04"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E53ED97" w14:textId="424A4F61" w:rsidR="00307BC9" w:rsidRPr="00B74E3F" w:rsidRDefault="00307BC9" w:rsidP="00307BC9">
            <w:pPr>
              <w:pStyle w:val="TBodynormalText"/>
              <w:rPr>
                <w:rFonts w:ascii="Arial" w:hAnsi="Arial" w:cs="Arial"/>
              </w:rPr>
            </w:pPr>
            <w:r w:rsidRPr="00B74E3F">
              <w:rPr>
                <w:rFonts w:ascii="Arial" w:hAnsi="Arial"/>
              </w:rPr>
              <w:t>Adjusted sales</w:t>
            </w:r>
            <w:r w:rsidR="002D048A">
              <w:rPr>
                <w:rFonts w:ascii="Arial" w:hAnsi="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4CE878E" w14:textId="77777777" w:rsidR="00307BC9" w:rsidRPr="00B74E3F" w:rsidRDefault="00307BC9" w:rsidP="00307BC9">
            <w:pPr>
              <w:pStyle w:val="TBodynormalNumber"/>
              <w:rPr>
                <w:rFonts w:ascii="Arial" w:hAnsi="Arial" w:cs="Arial"/>
              </w:rPr>
            </w:pPr>
            <w:r w:rsidRPr="00B74E3F">
              <w:rPr>
                <w:rFonts w:ascii="Arial" w:hAnsi="Arial"/>
              </w:rPr>
              <w:t>4,097.9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2333A49" w14:textId="77777777" w:rsidR="00307BC9" w:rsidRPr="00B74E3F" w:rsidRDefault="00307BC9" w:rsidP="00307BC9">
            <w:pPr>
              <w:pStyle w:val="TBodynormalNumber"/>
              <w:rPr>
                <w:rFonts w:ascii="Arial" w:hAnsi="Arial" w:cs="Arial"/>
              </w:rPr>
            </w:pPr>
            <w:r w:rsidRPr="00B74E3F">
              <w:rPr>
                <w:rFonts w:ascii="Arial" w:hAnsi="Arial"/>
              </w:rPr>
              <w:t>4,613.9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9AC92BF" w14:textId="07E68AF7" w:rsidR="00307BC9" w:rsidRPr="00B74E3F" w:rsidRDefault="00307BC9" w:rsidP="00307BC9">
            <w:pPr>
              <w:pStyle w:val="TBodynormalNumber"/>
              <w:rPr>
                <w:rFonts w:ascii="Arial" w:hAnsi="Arial" w:cs="Arial"/>
              </w:rPr>
            </w:pPr>
            <w:r w:rsidRPr="00B74E3F">
              <w:rPr>
                <w:rFonts w:ascii="Arial" w:hAnsi="Arial"/>
                <w:color w:val="000000"/>
                <w:szCs w:val="13"/>
              </w:rPr>
              <w:t>-11.2</w:t>
            </w:r>
          </w:p>
        </w:tc>
      </w:tr>
      <w:tr w:rsidR="00307BC9" w:rsidRPr="00B74E3F" w14:paraId="0C587B9C" w14:textId="2496D08A"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F046D3B" w14:textId="754AF8A0" w:rsidR="00307BC9" w:rsidRPr="00B74E3F" w:rsidRDefault="00307BC9" w:rsidP="00307BC9">
            <w:pPr>
              <w:pStyle w:val="TBodynormalText"/>
              <w:rPr>
                <w:rFonts w:ascii="Arial" w:hAnsi="Arial" w:cs="Arial"/>
              </w:rPr>
            </w:pPr>
            <w:r w:rsidRPr="00B74E3F">
              <w:rPr>
                <w:rFonts w:ascii="Arial" w:hAnsi="Arial"/>
              </w:rPr>
              <w:t>Adjusted operating result (adjusted EBIT)</w:t>
            </w:r>
            <w:r w:rsidR="002D048A">
              <w:rPr>
                <w:rFonts w:ascii="Arial" w:hAnsi="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7DF373D" w14:textId="77777777" w:rsidR="00307BC9" w:rsidRPr="00B74E3F" w:rsidRDefault="00307BC9" w:rsidP="00307BC9">
            <w:pPr>
              <w:pStyle w:val="TBodynormalNumber"/>
              <w:rPr>
                <w:rFonts w:ascii="Arial" w:hAnsi="Arial" w:cs="Arial"/>
              </w:rPr>
            </w:pPr>
            <w:r w:rsidRPr="00B74E3F">
              <w:rPr>
                <w:rFonts w:ascii="Arial" w:hAnsi="Arial"/>
              </w:rPr>
              <w:t>75.5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95711F4" w14:textId="77777777" w:rsidR="00307BC9" w:rsidRPr="00B74E3F" w:rsidRDefault="00307BC9" w:rsidP="00307BC9">
            <w:pPr>
              <w:pStyle w:val="TBodynormalNumber"/>
              <w:rPr>
                <w:rFonts w:ascii="Arial" w:hAnsi="Arial" w:cs="Arial"/>
              </w:rPr>
            </w:pPr>
            <w:r w:rsidRPr="00B74E3F">
              <w:rPr>
                <w:rFonts w:ascii="Arial" w:hAnsi="Arial"/>
              </w:rPr>
              <w:t>277.9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8CAF295" w14:textId="326DD6F6" w:rsidR="00307BC9" w:rsidRPr="00B74E3F" w:rsidRDefault="00307BC9" w:rsidP="00307BC9">
            <w:pPr>
              <w:pStyle w:val="TBodynormalNumber"/>
              <w:rPr>
                <w:rFonts w:ascii="Arial" w:hAnsi="Arial" w:cs="Arial"/>
              </w:rPr>
            </w:pPr>
            <w:r w:rsidRPr="00B74E3F">
              <w:rPr>
                <w:rFonts w:ascii="Arial" w:hAnsi="Arial"/>
                <w:color w:val="000000"/>
                <w:szCs w:val="13"/>
              </w:rPr>
              <w:t>-72.8</w:t>
            </w:r>
          </w:p>
        </w:tc>
      </w:tr>
      <w:tr w:rsidR="00307BC9" w:rsidRPr="00B74E3F" w14:paraId="6CC181D9" w14:textId="6D59E648" w:rsidTr="00BB29F3">
        <w:trPr>
          <w:trHeight w:val="257"/>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398ACB77" w14:textId="77777777" w:rsidR="00307BC9" w:rsidRPr="00B74E3F" w:rsidRDefault="00307BC9" w:rsidP="00307BC9">
            <w:pPr>
              <w:pStyle w:val="TBodynormalText"/>
              <w:rPr>
                <w:rFonts w:ascii="Arial" w:hAnsi="Arial" w:cs="Arial"/>
              </w:rPr>
            </w:pPr>
            <w:r w:rsidRPr="00B74E3F">
              <w:rPr>
                <w:rFonts w:ascii="Arial" w:hAnsi="Arial"/>
              </w:rPr>
              <w:t>in % of adjusted sales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1CAC6C20" w14:textId="77777777" w:rsidR="00307BC9" w:rsidRPr="00B74E3F" w:rsidRDefault="00307BC9" w:rsidP="00307BC9">
            <w:pPr>
              <w:pStyle w:val="TBodynormalNumber"/>
              <w:rPr>
                <w:rFonts w:ascii="Arial" w:hAnsi="Arial" w:cs="Arial"/>
              </w:rPr>
            </w:pPr>
            <w:r w:rsidRPr="00B74E3F">
              <w:rPr>
                <w:rFonts w:ascii="Arial" w:hAnsi="Arial"/>
              </w:rPr>
              <w:t>1.8</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1DBCBD93" w14:textId="77777777" w:rsidR="00307BC9" w:rsidRPr="00B74E3F" w:rsidRDefault="00307BC9" w:rsidP="00307BC9">
            <w:pPr>
              <w:pStyle w:val="TBodynormalNumber"/>
              <w:rPr>
                <w:rFonts w:ascii="Arial" w:hAnsi="Arial" w:cs="Arial"/>
              </w:rPr>
            </w:pPr>
            <w:r w:rsidRPr="00B74E3F">
              <w:rPr>
                <w:rFonts w:ascii="Arial" w:hAnsi="Arial"/>
              </w:rPr>
              <w:t>6.0</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2CE442DB" w14:textId="58925977" w:rsidR="00307BC9" w:rsidRPr="00B74E3F" w:rsidRDefault="00307BC9" w:rsidP="00307BC9">
            <w:pPr>
              <w:pStyle w:val="TBodynormalNumber"/>
              <w:rPr>
                <w:rFonts w:ascii="Arial" w:hAnsi="Arial" w:cs="Arial"/>
              </w:rPr>
            </w:pPr>
            <w:r w:rsidRPr="00B74E3F">
              <w:rPr>
                <w:rFonts w:ascii="Arial" w:hAnsi="Arial"/>
                <w:color w:val="000000"/>
                <w:szCs w:val="13"/>
              </w:rPr>
              <w:t> </w:t>
            </w:r>
          </w:p>
        </w:tc>
      </w:tr>
      <w:tr w:rsidR="00FF2B76" w:rsidRPr="00B74E3F" w14:paraId="75E3B7C4" w14:textId="0CF0EB35" w:rsidTr="00BB29F3">
        <w:trPr>
          <w:cantSplit/>
          <w:trHeight w:val="137"/>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569F4CAE"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384D89F3"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11B207D9"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117C02E9" w14:textId="77777777" w:rsidR="00FF2B76" w:rsidRPr="00B74E3F" w:rsidRDefault="00FF2B76" w:rsidP="00FF2B76">
            <w:pPr>
              <w:pStyle w:val="TDummyRow"/>
              <w:jc w:val="left"/>
              <w:rPr>
                <w:rFonts w:ascii="Arial" w:hAnsi="Arial" w:cs="Arial"/>
              </w:rPr>
            </w:pPr>
          </w:p>
        </w:tc>
      </w:tr>
    </w:tbl>
    <w:p w14:paraId="517DF3E2" w14:textId="77777777" w:rsidR="003E669D" w:rsidRPr="00B74E3F" w:rsidRDefault="003E669D" w:rsidP="003E669D">
      <w:pPr>
        <w:pStyle w:val="TNote"/>
        <w:rPr>
          <w:rFonts w:ascii="Arial" w:hAnsi="Arial" w:cs="Arial"/>
        </w:rPr>
      </w:pPr>
      <w:r w:rsidRPr="00B74E3F">
        <w:rPr>
          <w:rFonts w:ascii="Arial" w:hAnsi="Arial"/>
        </w:rPr>
        <w:t>1</w:t>
      </w:r>
      <w:r w:rsidRPr="00B74E3F">
        <w:rPr>
          <w:rFonts w:ascii="Arial" w:hAnsi="Arial"/>
        </w:rPr>
        <w:tab/>
        <w:t>Capital expenditure on property, plant and equipment, and software.</w:t>
      </w:r>
    </w:p>
    <w:p w14:paraId="68020B74" w14:textId="77777777" w:rsidR="003E669D" w:rsidRPr="00B74E3F" w:rsidRDefault="003E669D" w:rsidP="003E669D">
      <w:pPr>
        <w:pStyle w:val="TNote"/>
        <w:rPr>
          <w:rFonts w:ascii="Arial" w:hAnsi="Arial" w:cs="Arial"/>
        </w:rPr>
      </w:pPr>
      <w:r w:rsidRPr="00B74E3F">
        <w:rPr>
          <w:rFonts w:ascii="Arial" w:hAnsi="Arial"/>
        </w:rPr>
        <w:t>2</w:t>
      </w:r>
      <w:r w:rsidRPr="00B74E3F">
        <w:rPr>
          <w:rFonts w:ascii="Arial" w:hAnsi="Arial"/>
        </w:rPr>
        <w:tab/>
        <w:t>Excluding trainees.</w:t>
      </w:r>
    </w:p>
    <w:p w14:paraId="317E3FA0" w14:textId="77777777" w:rsidR="003E669D" w:rsidRPr="00B74E3F" w:rsidRDefault="003E669D" w:rsidP="003E669D">
      <w:pPr>
        <w:pStyle w:val="TNote"/>
        <w:rPr>
          <w:rFonts w:ascii="Arial" w:hAnsi="Arial" w:cs="Arial"/>
        </w:rPr>
      </w:pPr>
      <w:r w:rsidRPr="00B74E3F">
        <w:rPr>
          <w:rFonts w:ascii="Arial" w:hAnsi="Arial"/>
        </w:rPr>
        <w:t>3</w:t>
      </w:r>
      <w:r w:rsidRPr="00B74E3F">
        <w:rPr>
          <w:rFonts w:ascii="Arial" w:hAnsi="Arial"/>
        </w:rPr>
        <w:tab/>
        <w:t>Before changes in the scope of consolidation.</w:t>
      </w:r>
    </w:p>
    <w:p w14:paraId="535BB8D6" w14:textId="77777777" w:rsidR="003E669D" w:rsidRPr="00B74E3F" w:rsidRDefault="003E669D" w:rsidP="003E669D">
      <w:pPr>
        <w:pStyle w:val="TNote"/>
        <w:rPr>
          <w:rFonts w:ascii="Arial" w:hAnsi="Arial" w:cs="Arial"/>
        </w:rPr>
      </w:pPr>
      <w:r w:rsidRPr="00B74E3F">
        <w:rPr>
          <w:rFonts w:ascii="Arial" w:hAnsi="Arial"/>
        </w:rPr>
        <w:t>4</w:t>
      </w:r>
      <w:r w:rsidRPr="00B74E3F">
        <w:rPr>
          <w:rFonts w:ascii="Arial" w:hAnsi="Arial"/>
        </w:rPr>
        <w:tab/>
        <w:t>Before amortization of intangible assets from purchase price allocation (PPA), changes in the scope of consolidation, and special effects.</w:t>
      </w:r>
    </w:p>
    <w:p w14:paraId="1B9C2D2E" w14:textId="77777777" w:rsidR="003E669D" w:rsidRDefault="003E669D">
      <w:r>
        <w:br w:type="page"/>
      </w:r>
    </w:p>
    <w:tbl>
      <w:tblPr>
        <w:tblOverlap w:val="never"/>
        <w:tblW w:w="9674" w:type="dxa"/>
        <w:tblLayout w:type="fixed"/>
        <w:tblCellMar>
          <w:left w:w="0" w:type="dxa"/>
          <w:right w:w="0" w:type="dxa"/>
        </w:tblCellMar>
        <w:tblLook w:val="04A0" w:firstRow="1" w:lastRow="0" w:firstColumn="1" w:lastColumn="0" w:noHBand="0" w:noVBand="1"/>
        <w:tblDescription w:val="_FLink_1T_UQkEHcZ5DuZöDöNciU_1&#10;_FLink_1T_UW8öYUXVPJFüüXajbJ_1"/>
      </w:tblPr>
      <w:tblGrid>
        <w:gridCol w:w="5567"/>
        <w:gridCol w:w="1369"/>
        <w:gridCol w:w="1369"/>
        <w:gridCol w:w="1369"/>
      </w:tblGrid>
      <w:tr w:rsidR="00A538A1" w:rsidRPr="00B74E3F" w14:paraId="7BDD871A" w14:textId="0CB3D544" w:rsidTr="00FF6E37">
        <w:trPr>
          <w:trHeight w:val="348"/>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7F79FC84" w14:textId="4F7376AA" w:rsidR="00A538A1" w:rsidRPr="00B74E3F" w:rsidRDefault="00A538A1" w:rsidP="00725F48">
            <w:pPr>
              <w:pStyle w:val="THeadfirstText"/>
              <w:rPr>
                <w:rFonts w:ascii="Arial" w:hAnsi="Arial" w:cs="Arial"/>
              </w:rPr>
            </w:pP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6A093EE2" w14:textId="497AC259" w:rsidR="00A538A1" w:rsidRPr="00B74E3F" w:rsidRDefault="00A538A1" w:rsidP="00725F48">
            <w:pPr>
              <w:pStyle w:val="THeadfirstNumber"/>
              <w:jc w:val="center"/>
              <w:rPr>
                <w:rFonts w:ascii="Arial" w:hAnsi="Arial" w:cs="Arial"/>
              </w:rPr>
            </w:pPr>
            <w:r w:rsidRPr="00B74E3F">
              <w:rPr>
                <w:rFonts w:ascii="Arial" w:hAnsi="Arial"/>
              </w:rPr>
              <w:t>January 1 to March 31</w:t>
            </w:r>
          </w:p>
        </w:tc>
      </w:tr>
      <w:tr w:rsidR="00285167" w:rsidRPr="00B74E3F" w14:paraId="2471BB12" w14:textId="3E47348B" w:rsidTr="00BB29F3">
        <w:trPr>
          <w:trHeight w:val="232"/>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7C94EDDF" w14:textId="77777777" w:rsidR="00285167" w:rsidRPr="00B74E3F" w:rsidRDefault="00285167" w:rsidP="00725F48">
            <w:pPr>
              <w:pStyle w:val="THeadlastText"/>
              <w:rPr>
                <w:rFonts w:ascii="Arial" w:hAnsi="Arial" w:cs="Arial"/>
                <w:b/>
                <w:bCs/>
              </w:rPr>
            </w:pPr>
            <w:r w:rsidRPr="00B74E3F">
              <w:rPr>
                <w:rFonts w:ascii="Arial" w:hAnsi="Arial"/>
                <w:b/>
                <w:bCs/>
              </w:rPr>
              <w:t>Rubber Technologies in € millions</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87686E9" w14:textId="77777777" w:rsidR="00285167" w:rsidRPr="00B74E3F" w:rsidRDefault="00285167" w:rsidP="00725F48">
            <w:pPr>
              <w:pStyle w:val="THeadlastNumber"/>
              <w:rPr>
                <w:rFonts w:ascii="Arial" w:hAnsi="Arial" w:cs="Arial"/>
              </w:rPr>
            </w:pPr>
            <w:r w:rsidRPr="00B74E3F">
              <w:rPr>
                <w:rFonts w:ascii="Arial" w:hAnsi="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auto"/>
            <w:vAlign w:val="bottom"/>
          </w:tcPr>
          <w:p w14:paraId="76227F12" w14:textId="77777777" w:rsidR="00285167" w:rsidRPr="00B74E3F" w:rsidRDefault="00285167" w:rsidP="00725F48">
            <w:pPr>
              <w:pStyle w:val="THeadlastNumber"/>
              <w:rPr>
                <w:rFonts w:ascii="Arial" w:hAnsi="Arial" w:cs="Arial"/>
              </w:rPr>
            </w:pPr>
            <w:r w:rsidRPr="00B74E3F">
              <w:rPr>
                <w:rFonts w:ascii="Arial" w:hAnsi="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auto"/>
          </w:tcPr>
          <w:p w14:paraId="4CB78021" w14:textId="1D5A7C62" w:rsidR="00285167" w:rsidRPr="00B74E3F" w:rsidRDefault="00285167" w:rsidP="00725F48">
            <w:pPr>
              <w:pStyle w:val="THeadlastNumber"/>
              <w:rPr>
                <w:rFonts w:ascii="Arial" w:hAnsi="Arial" w:cs="Arial"/>
              </w:rPr>
            </w:pPr>
            <w:r w:rsidRPr="00B74E3F">
              <w:rPr>
                <w:rFonts w:ascii="Arial" w:hAnsi="Arial"/>
              </w:rPr>
              <w:t>Δ in %</w:t>
            </w:r>
          </w:p>
        </w:tc>
      </w:tr>
      <w:tr w:rsidR="004635B7" w:rsidRPr="00B74E3F" w14:paraId="60A411A7" w14:textId="43882602" w:rsidTr="00BB29F3">
        <w:trPr>
          <w:trHeight w:val="232"/>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3A2259D0" w14:textId="77777777" w:rsidR="004635B7" w:rsidRPr="00B74E3F" w:rsidRDefault="004635B7" w:rsidP="004635B7">
            <w:pPr>
              <w:pStyle w:val="TBodynormalText"/>
              <w:rPr>
                <w:rFonts w:ascii="Arial" w:hAnsi="Arial" w:cs="Arial"/>
              </w:rPr>
            </w:pPr>
            <w:r w:rsidRPr="00B74E3F">
              <w:rPr>
                <w:rFonts w:ascii="Arial" w:hAnsi="Arial"/>
              </w:rPr>
              <w:t>Sales</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52DC43D9" w14:textId="77777777" w:rsidR="004635B7" w:rsidRPr="00B74E3F" w:rsidRDefault="004635B7" w:rsidP="004635B7">
            <w:pPr>
              <w:pStyle w:val="TBodynormalNumber"/>
              <w:rPr>
                <w:rFonts w:ascii="Arial" w:hAnsi="Arial" w:cs="Arial"/>
              </w:rPr>
            </w:pPr>
            <w:r w:rsidRPr="00B74E3F">
              <w:rPr>
                <w:rFonts w:ascii="Arial" w:hAnsi="Arial"/>
              </w:rPr>
              <w:t>3,971.7</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6723BA04" w14:textId="77777777" w:rsidR="004635B7" w:rsidRPr="00B74E3F" w:rsidRDefault="004635B7" w:rsidP="004635B7">
            <w:pPr>
              <w:pStyle w:val="TBodynormalNumber"/>
              <w:rPr>
                <w:rFonts w:ascii="Arial" w:hAnsi="Arial" w:cs="Arial"/>
              </w:rPr>
            </w:pPr>
            <w:r w:rsidRPr="00B74E3F">
              <w:rPr>
                <w:rFonts w:ascii="Arial" w:hAnsi="Arial"/>
              </w:rPr>
              <w:t>4,371.6</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5926F23E" w14:textId="3ADC5BCE" w:rsidR="004635B7" w:rsidRPr="00B74E3F" w:rsidRDefault="004635B7" w:rsidP="004635B7">
            <w:pPr>
              <w:pStyle w:val="TBodynormalNumber"/>
              <w:rPr>
                <w:rFonts w:ascii="Arial" w:hAnsi="Arial" w:cs="Arial"/>
              </w:rPr>
            </w:pPr>
            <w:r w:rsidRPr="00B74E3F">
              <w:rPr>
                <w:rFonts w:ascii="Arial" w:hAnsi="Arial"/>
                <w:color w:val="000000"/>
                <w:szCs w:val="13"/>
              </w:rPr>
              <w:t>-9.1</w:t>
            </w:r>
          </w:p>
        </w:tc>
      </w:tr>
      <w:tr w:rsidR="004635B7" w:rsidRPr="00B74E3F" w14:paraId="20E89DD1" w14:textId="7C469425"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1462A95" w14:textId="77777777" w:rsidR="004635B7" w:rsidRPr="00B74E3F" w:rsidRDefault="004635B7" w:rsidP="004635B7">
            <w:pPr>
              <w:pStyle w:val="TBodynormalText"/>
              <w:rPr>
                <w:rFonts w:ascii="Arial" w:hAnsi="Arial" w:cs="Arial"/>
              </w:rPr>
            </w:pPr>
            <w:r w:rsidRPr="00B74E3F">
              <w:rPr>
                <w:rFonts w:ascii="Arial" w:hAnsi="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BDC53B8" w14:textId="77777777" w:rsidR="004635B7" w:rsidRPr="00B74E3F" w:rsidRDefault="004635B7" w:rsidP="004635B7">
            <w:pPr>
              <w:pStyle w:val="TBodynormalNumber"/>
              <w:rPr>
                <w:rFonts w:ascii="Arial" w:hAnsi="Arial" w:cs="Arial"/>
              </w:rPr>
            </w:pPr>
            <w:r w:rsidRPr="00B74E3F">
              <w:rPr>
                <w:rFonts w:ascii="Arial" w:hAnsi="Arial"/>
              </w:rPr>
              <w:t>651.0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E849F85" w14:textId="77777777" w:rsidR="004635B7" w:rsidRPr="00B74E3F" w:rsidRDefault="004635B7" w:rsidP="004635B7">
            <w:pPr>
              <w:pStyle w:val="TBodynormalNumber"/>
              <w:rPr>
                <w:rFonts w:ascii="Arial" w:hAnsi="Arial" w:cs="Arial"/>
              </w:rPr>
            </w:pPr>
            <w:r w:rsidRPr="00B74E3F">
              <w:rPr>
                <w:rFonts w:ascii="Arial" w:hAnsi="Arial"/>
              </w:rPr>
              <w:t>788.8</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AAE3BA3" w14:textId="32BACFC5" w:rsidR="004635B7" w:rsidRPr="00B74E3F" w:rsidRDefault="004635B7" w:rsidP="004635B7">
            <w:pPr>
              <w:pStyle w:val="TBodynormalNumber"/>
              <w:rPr>
                <w:rFonts w:ascii="Arial" w:hAnsi="Arial" w:cs="Arial"/>
              </w:rPr>
            </w:pPr>
            <w:r w:rsidRPr="00B74E3F">
              <w:rPr>
                <w:rFonts w:ascii="Arial" w:hAnsi="Arial"/>
                <w:color w:val="000000"/>
                <w:szCs w:val="13"/>
              </w:rPr>
              <w:t>-17.5</w:t>
            </w:r>
          </w:p>
        </w:tc>
      </w:tr>
      <w:tr w:rsidR="004635B7" w:rsidRPr="00B74E3F" w14:paraId="399C7D3C" w14:textId="1A350BB0"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6FB0F01" w14:textId="77777777" w:rsidR="004635B7" w:rsidRPr="00B74E3F" w:rsidRDefault="004635B7" w:rsidP="004635B7">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87B560E" w14:textId="77777777" w:rsidR="004635B7" w:rsidRPr="00B74E3F" w:rsidRDefault="004635B7" w:rsidP="004635B7">
            <w:pPr>
              <w:pStyle w:val="TBodynormalNumber"/>
              <w:rPr>
                <w:rFonts w:ascii="Arial" w:hAnsi="Arial" w:cs="Arial"/>
              </w:rPr>
            </w:pPr>
            <w:r w:rsidRPr="00B74E3F">
              <w:rPr>
                <w:rFonts w:ascii="Arial" w:hAnsi="Arial"/>
              </w:rPr>
              <w:t>16.4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EA135DE" w14:textId="77777777" w:rsidR="004635B7" w:rsidRPr="00B74E3F" w:rsidRDefault="004635B7" w:rsidP="004635B7">
            <w:pPr>
              <w:pStyle w:val="TBodynormalNumber"/>
              <w:rPr>
                <w:rFonts w:ascii="Arial" w:hAnsi="Arial" w:cs="Arial"/>
              </w:rPr>
            </w:pPr>
            <w:r w:rsidRPr="00B74E3F">
              <w:rPr>
                <w:rFonts w:ascii="Arial" w:hAnsi="Arial"/>
              </w:rPr>
              <w:t>18.0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00E17E3" w14:textId="295699E5"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40F78C3D" w14:textId="6AF7541B"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37D3CBD" w14:textId="77777777" w:rsidR="004635B7" w:rsidRPr="00B74E3F" w:rsidRDefault="004635B7" w:rsidP="004635B7">
            <w:pPr>
              <w:pStyle w:val="TBodynormalText"/>
              <w:rPr>
                <w:rFonts w:ascii="Arial" w:hAnsi="Arial" w:cs="Arial"/>
              </w:rPr>
            </w:pPr>
            <w:r w:rsidRPr="00B74E3F">
              <w:rPr>
                <w:rFonts w:ascii="Arial" w:hAnsi="Arial"/>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690059D" w14:textId="77777777" w:rsidR="004635B7" w:rsidRPr="00B74E3F" w:rsidRDefault="004635B7" w:rsidP="004635B7">
            <w:pPr>
              <w:pStyle w:val="TBodynormalNumber"/>
              <w:rPr>
                <w:rFonts w:ascii="Arial" w:hAnsi="Arial" w:cs="Arial"/>
              </w:rPr>
            </w:pPr>
            <w:r w:rsidRPr="00B74E3F">
              <w:rPr>
                <w:rFonts w:ascii="Arial" w:hAnsi="Arial"/>
              </w:rPr>
              <w:t>346.4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E34218A" w14:textId="77777777" w:rsidR="004635B7" w:rsidRPr="00B74E3F" w:rsidRDefault="004635B7" w:rsidP="004635B7">
            <w:pPr>
              <w:pStyle w:val="TBodynormalNumber"/>
              <w:rPr>
                <w:rFonts w:ascii="Arial" w:hAnsi="Arial" w:cs="Arial"/>
              </w:rPr>
            </w:pPr>
            <w:r w:rsidRPr="00B74E3F">
              <w:rPr>
                <w:rFonts w:ascii="Arial" w:hAnsi="Arial"/>
              </w:rPr>
              <w:t>510.0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D628FA3" w14:textId="43C17B8D" w:rsidR="004635B7" w:rsidRPr="00B74E3F" w:rsidRDefault="004635B7" w:rsidP="004635B7">
            <w:pPr>
              <w:pStyle w:val="TBodynormalNumber"/>
              <w:rPr>
                <w:rFonts w:ascii="Arial" w:hAnsi="Arial" w:cs="Arial"/>
              </w:rPr>
            </w:pPr>
            <w:r w:rsidRPr="00B74E3F">
              <w:rPr>
                <w:rFonts w:ascii="Arial" w:hAnsi="Arial"/>
                <w:color w:val="000000"/>
                <w:szCs w:val="13"/>
              </w:rPr>
              <w:t>-32.1</w:t>
            </w:r>
          </w:p>
        </w:tc>
      </w:tr>
      <w:tr w:rsidR="004635B7" w:rsidRPr="00B74E3F" w14:paraId="377F6798" w14:textId="5C24A66D"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3CBE995" w14:textId="77777777" w:rsidR="004635B7" w:rsidRPr="00B74E3F" w:rsidRDefault="004635B7" w:rsidP="004635B7">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0CCE8C5" w14:textId="77777777" w:rsidR="004635B7" w:rsidRPr="00B74E3F" w:rsidRDefault="004635B7" w:rsidP="004635B7">
            <w:pPr>
              <w:pStyle w:val="TBodynormalNumber"/>
              <w:rPr>
                <w:rFonts w:ascii="Arial" w:hAnsi="Arial" w:cs="Arial"/>
              </w:rPr>
            </w:pPr>
            <w:r w:rsidRPr="00B74E3F">
              <w:rPr>
                <w:rFonts w:ascii="Arial" w:hAnsi="Arial"/>
              </w:rPr>
              <w:t>8.7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00AC049" w14:textId="77777777" w:rsidR="004635B7" w:rsidRPr="00B74E3F" w:rsidRDefault="004635B7" w:rsidP="004635B7">
            <w:pPr>
              <w:pStyle w:val="TBodynormalNumber"/>
              <w:rPr>
                <w:rFonts w:ascii="Arial" w:hAnsi="Arial" w:cs="Arial"/>
              </w:rPr>
            </w:pPr>
            <w:r w:rsidRPr="00B74E3F">
              <w:rPr>
                <w:rFonts w:ascii="Arial" w:hAnsi="Arial"/>
              </w:rPr>
              <w:t>11.7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51181B6" w14:textId="05944F72"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3C2834B2" w14:textId="78D20A58"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DB5F91B" w14:textId="40139D3C" w:rsidR="004635B7" w:rsidRPr="00B74E3F" w:rsidRDefault="004635B7" w:rsidP="004635B7">
            <w:pPr>
              <w:pStyle w:val="TBodynormalText"/>
              <w:rPr>
                <w:rFonts w:ascii="Arial" w:hAnsi="Arial" w:cs="Arial"/>
              </w:rPr>
            </w:pPr>
            <w:r w:rsidRPr="00B74E3F">
              <w:rPr>
                <w:rFonts w:ascii="Arial" w:hAnsi="Arial"/>
              </w:rPr>
              <w:t>Research and development expenses (net)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9223B7A" w14:textId="19219D13" w:rsidR="004635B7" w:rsidRPr="00B74E3F" w:rsidRDefault="004635B7" w:rsidP="004635B7">
            <w:pPr>
              <w:pStyle w:val="TBodynormalNumber"/>
              <w:rPr>
                <w:rFonts w:ascii="Arial" w:hAnsi="Arial" w:cs="Arial"/>
              </w:rPr>
            </w:pPr>
            <w:r w:rsidRPr="00B74E3F">
              <w:rPr>
                <w:rFonts w:ascii="Arial" w:hAnsi="Arial"/>
              </w:rPr>
              <w:t>117.6</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15099C6" w14:textId="232387B4" w:rsidR="004635B7" w:rsidRPr="00B74E3F" w:rsidRDefault="004635B7" w:rsidP="004635B7">
            <w:pPr>
              <w:pStyle w:val="TBodynormalNumber"/>
              <w:rPr>
                <w:rFonts w:ascii="Arial" w:hAnsi="Arial" w:cs="Arial"/>
              </w:rPr>
            </w:pPr>
            <w:r w:rsidRPr="00B74E3F">
              <w:rPr>
                <w:rFonts w:ascii="Arial" w:hAnsi="Arial"/>
              </w:rPr>
              <w:t>118.5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CE3BB2B" w14:textId="70ADB8E5" w:rsidR="004635B7" w:rsidRPr="00B74E3F" w:rsidRDefault="004635B7" w:rsidP="004635B7">
            <w:pPr>
              <w:pStyle w:val="TBodynormalNumber"/>
              <w:rPr>
                <w:rFonts w:ascii="Arial" w:hAnsi="Arial" w:cs="Arial"/>
              </w:rPr>
            </w:pPr>
            <w:r w:rsidRPr="00B74E3F">
              <w:rPr>
                <w:rFonts w:ascii="Arial" w:hAnsi="Arial"/>
                <w:color w:val="000000"/>
                <w:szCs w:val="13"/>
              </w:rPr>
              <w:t>-0.8</w:t>
            </w:r>
          </w:p>
        </w:tc>
      </w:tr>
      <w:tr w:rsidR="004635B7" w:rsidRPr="00B74E3F" w14:paraId="0BA6D269" w14:textId="0892883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D7A5C90" w14:textId="4B83D5EC" w:rsidR="004635B7" w:rsidRPr="00B74E3F" w:rsidRDefault="004635B7" w:rsidP="00BB29F3">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A3E0098" w14:textId="25D2C928" w:rsidR="004635B7" w:rsidRPr="00B74E3F" w:rsidRDefault="004635B7" w:rsidP="004635B7">
            <w:pPr>
              <w:pStyle w:val="TBodynormalNumber"/>
              <w:rPr>
                <w:rFonts w:ascii="Arial" w:hAnsi="Arial" w:cs="Arial"/>
              </w:rPr>
            </w:pPr>
            <w:r w:rsidRPr="00B74E3F">
              <w:rPr>
                <w:rFonts w:ascii="Arial" w:hAnsi="Arial"/>
              </w:rPr>
              <w:t>3.0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7A97980" w14:textId="1427D229" w:rsidR="004635B7" w:rsidRPr="00B74E3F" w:rsidRDefault="004635B7" w:rsidP="004635B7">
            <w:pPr>
              <w:pStyle w:val="TBodynormalNumber"/>
              <w:rPr>
                <w:rFonts w:ascii="Arial" w:hAnsi="Arial" w:cs="Arial"/>
              </w:rPr>
            </w:pPr>
            <w:r w:rsidRPr="00B74E3F">
              <w:rPr>
                <w:rFonts w:ascii="Arial" w:hAnsi="Arial"/>
              </w:rPr>
              <w:t>2.7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8805256" w14:textId="318CAA77"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7BF5154A" w14:textId="74B27F91"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9E2AE62" w14:textId="1CBFAE1B" w:rsidR="004635B7" w:rsidRPr="00B74E3F" w:rsidRDefault="004635B7" w:rsidP="004635B7">
            <w:pPr>
              <w:pStyle w:val="TBodynormalText"/>
              <w:rPr>
                <w:rFonts w:ascii="Arial" w:hAnsi="Arial" w:cs="Arial"/>
              </w:rPr>
            </w:pPr>
            <w:r w:rsidRPr="00B74E3F">
              <w:rPr>
                <w:rFonts w:ascii="Arial" w:hAnsi="Arial"/>
              </w:rPr>
              <w:t>Capital expenditure</w:t>
            </w:r>
            <w:r w:rsidRPr="00B74E3F">
              <w:rPr>
                <w:rFonts w:ascii="Arial" w:hAnsi="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848ADD6" w14:textId="77777777" w:rsidR="004635B7" w:rsidRPr="00B74E3F" w:rsidRDefault="004635B7" w:rsidP="004635B7">
            <w:pPr>
              <w:pStyle w:val="TBodynormalNumber"/>
              <w:rPr>
                <w:rFonts w:ascii="Arial" w:hAnsi="Arial" w:cs="Arial"/>
              </w:rPr>
            </w:pPr>
            <w:r w:rsidRPr="00B74E3F">
              <w:rPr>
                <w:rFonts w:ascii="Arial" w:hAnsi="Arial"/>
              </w:rPr>
              <w:t>164.2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741A21E" w14:textId="77777777" w:rsidR="004635B7" w:rsidRPr="00B74E3F" w:rsidRDefault="004635B7" w:rsidP="004635B7">
            <w:pPr>
              <w:pStyle w:val="TBodynormalNumber"/>
              <w:rPr>
                <w:rFonts w:ascii="Arial" w:hAnsi="Arial" w:cs="Arial"/>
              </w:rPr>
            </w:pPr>
            <w:r w:rsidRPr="00B74E3F">
              <w:rPr>
                <w:rFonts w:ascii="Arial" w:hAnsi="Arial"/>
              </w:rPr>
              <w:t>245.4</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ED4C7EC" w14:textId="539B1FE0" w:rsidR="004635B7" w:rsidRPr="00B74E3F" w:rsidRDefault="004635B7" w:rsidP="004635B7">
            <w:pPr>
              <w:pStyle w:val="TBodynormalNumber"/>
              <w:rPr>
                <w:rFonts w:ascii="Arial" w:hAnsi="Arial" w:cs="Arial"/>
              </w:rPr>
            </w:pPr>
            <w:r w:rsidRPr="00B74E3F">
              <w:rPr>
                <w:rFonts w:ascii="Arial" w:hAnsi="Arial"/>
                <w:color w:val="000000"/>
                <w:szCs w:val="13"/>
              </w:rPr>
              <w:t>-33.1</w:t>
            </w:r>
          </w:p>
        </w:tc>
      </w:tr>
      <w:tr w:rsidR="004635B7" w:rsidRPr="00B74E3F" w14:paraId="2A688FE0" w14:textId="2058413D"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43EA129" w14:textId="77777777" w:rsidR="004635B7" w:rsidRPr="00B74E3F" w:rsidRDefault="004635B7" w:rsidP="004635B7">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1B95D4F" w14:textId="77777777" w:rsidR="004635B7" w:rsidRPr="00B74E3F" w:rsidRDefault="004635B7" w:rsidP="004635B7">
            <w:pPr>
              <w:pStyle w:val="TBodynormalNumber"/>
              <w:rPr>
                <w:rFonts w:ascii="Arial" w:hAnsi="Arial" w:cs="Arial"/>
              </w:rPr>
            </w:pPr>
            <w:r w:rsidRPr="00B74E3F">
              <w:rPr>
                <w:rFonts w:ascii="Arial" w:hAnsi="Arial"/>
              </w:rPr>
              <w:t>4.1</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F3DA179" w14:textId="77777777" w:rsidR="004635B7" w:rsidRPr="00B74E3F" w:rsidRDefault="004635B7" w:rsidP="004635B7">
            <w:pPr>
              <w:pStyle w:val="TBodynormalNumber"/>
              <w:rPr>
                <w:rFonts w:ascii="Arial" w:hAnsi="Arial" w:cs="Arial"/>
              </w:rPr>
            </w:pPr>
            <w:r w:rsidRPr="00B74E3F">
              <w:rPr>
                <w:rFonts w:ascii="Arial" w:hAnsi="Arial"/>
              </w:rPr>
              <w:t>5.6</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4CB8591" w14:textId="1AE048AE"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64886F19" w14:textId="40FDA89C"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8645407" w14:textId="19B4AD43" w:rsidR="004635B7" w:rsidRPr="00B74E3F" w:rsidRDefault="004635B7" w:rsidP="004635B7">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BF8473E" w14:textId="3096868D" w:rsidR="004635B7" w:rsidRPr="00B74E3F" w:rsidRDefault="004635B7" w:rsidP="004635B7">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ED1DFED" w14:textId="6ED9B235" w:rsidR="004635B7" w:rsidRPr="00B74E3F" w:rsidRDefault="004635B7" w:rsidP="004635B7">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E3A3E2A" w14:textId="2950EACB"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0D6B0361" w14:textId="67F5B479"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11AF06A" w14:textId="5863412D" w:rsidR="004635B7" w:rsidRPr="00B74E3F" w:rsidRDefault="004635B7" w:rsidP="004635B7">
            <w:pPr>
              <w:pStyle w:val="TBodynormalText"/>
              <w:rPr>
                <w:rFonts w:ascii="Arial" w:hAnsi="Arial" w:cs="Arial"/>
              </w:rPr>
            </w:pPr>
            <w:r w:rsidRPr="00B74E3F">
              <w:rPr>
                <w:rFonts w:ascii="Arial" w:hAnsi="Arial"/>
              </w:rPr>
              <w:t>Number of employees as at March 31</w:t>
            </w:r>
            <w:r w:rsidRPr="00B74E3F">
              <w:rPr>
                <w:rFonts w:ascii="Arial" w:hAnsi="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18606A5" w14:textId="77777777" w:rsidR="004635B7" w:rsidRPr="00B74E3F" w:rsidRDefault="004635B7" w:rsidP="004635B7">
            <w:pPr>
              <w:pStyle w:val="TBodynormalNumber"/>
              <w:rPr>
                <w:rFonts w:ascii="Arial" w:hAnsi="Arial" w:cs="Arial"/>
              </w:rPr>
            </w:pPr>
            <w:r w:rsidRPr="00B74E3F">
              <w:rPr>
                <w:rFonts w:ascii="Arial" w:hAnsi="Arial"/>
              </w:rPr>
              <w:t>101,620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B9D69C" w14:textId="77777777" w:rsidR="004635B7" w:rsidRPr="00B74E3F" w:rsidRDefault="004635B7" w:rsidP="004635B7">
            <w:pPr>
              <w:pStyle w:val="TBodynormalNumber"/>
              <w:rPr>
                <w:rFonts w:ascii="Arial" w:hAnsi="Arial" w:cs="Arial"/>
              </w:rPr>
            </w:pPr>
            <w:r w:rsidRPr="00B74E3F">
              <w:rPr>
                <w:rFonts w:ascii="Arial" w:hAnsi="Arial"/>
              </w:rPr>
              <w:t>103,793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819651D" w14:textId="0122C9CB" w:rsidR="004635B7" w:rsidRPr="00B74E3F" w:rsidRDefault="004635B7" w:rsidP="004635B7">
            <w:pPr>
              <w:pStyle w:val="TBodynormalNumber"/>
              <w:rPr>
                <w:rFonts w:ascii="Arial" w:hAnsi="Arial" w:cs="Arial"/>
              </w:rPr>
            </w:pPr>
            <w:r w:rsidRPr="00B74E3F">
              <w:rPr>
                <w:rFonts w:ascii="Arial" w:hAnsi="Arial"/>
                <w:color w:val="000000"/>
                <w:szCs w:val="13"/>
              </w:rPr>
              <w:t>-2.1</w:t>
            </w:r>
          </w:p>
        </w:tc>
      </w:tr>
      <w:tr w:rsidR="004635B7" w:rsidRPr="00B74E3F" w14:paraId="799FE326" w14:textId="50D1B8FB"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D6D5882" w14:textId="77777777" w:rsidR="004635B7" w:rsidRPr="00B74E3F" w:rsidRDefault="004635B7" w:rsidP="004635B7">
            <w:pPr>
              <w:pStyle w:val="TBodynormalText"/>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6E95CE0" w14:textId="77777777" w:rsidR="004635B7" w:rsidRPr="00B74E3F" w:rsidRDefault="004635B7" w:rsidP="004635B7">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19CDB90" w14:textId="77777777" w:rsidR="004635B7" w:rsidRPr="00B74E3F" w:rsidRDefault="004635B7" w:rsidP="004635B7">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8B25372" w14:textId="259A62C0"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4635B7" w:rsidRPr="00B74E3F" w14:paraId="73CADC8C" w14:textId="4BEDF2AE"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5DA1FB9" w14:textId="06C137B3" w:rsidR="004635B7" w:rsidRPr="00B74E3F" w:rsidRDefault="004635B7" w:rsidP="004635B7">
            <w:pPr>
              <w:pStyle w:val="TBodynormalText"/>
              <w:rPr>
                <w:rFonts w:ascii="Arial" w:hAnsi="Arial" w:cs="Arial"/>
              </w:rPr>
            </w:pPr>
            <w:r w:rsidRPr="00B74E3F">
              <w:rPr>
                <w:rFonts w:ascii="Arial" w:hAnsi="Arial"/>
              </w:rPr>
              <w:t>Adjusted sales</w:t>
            </w:r>
            <w:r w:rsidRPr="00B74E3F">
              <w:rPr>
                <w:rFonts w:ascii="Arial" w:hAnsi="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BFF9F0D" w14:textId="77777777" w:rsidR="004635B7" w:rsidRPr="00B74E3F" w:rsidRDefault="004635B7" w:rsidP="004635B7">
            <w:pPr>
              <w:pStyle w:val="TBodynormalNumber"/>
              <w:rPr>
                <w:rFonts w:ascii="Arial" w:hAnsi="Arial" w:cs="Arial"/>
              </w:rPr>
            </w:pPr>
            <w:r w:rsidRPr="00B74E3F">
              <w:rPr>
                <w:rFonts w:ascii="Arial" w:hAnsi="Arial"/>
              </w:rPr>
              <w:t>3,885.1</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8857AF5" w14:textId="77777777" w:rsidR="004635B7" w:rsidRPr="00B74E3F" w:rsidRDefault="004635B7" w:rsidP="004635B7">
            <w:pPr>
              <w:pStyle w:val="TBodynormalNumber"/>
              <w:rPr>
                <w:rFonts w:ascii="Arial" w:hAnsi="Arial" w:cs="Arial"/>
              </w:rPr>
            </w:pPr>
            <w:r w:rsidRPr="00B74E3F">
              <w:rPr>
                <w:rFonts w:ascii="Arial" w:hAnsi="Arial"/>
              </w:rPr>
              <w:t>4,369.9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283DF5F" w14:textId="2EA41610" w:rsidR="004635B7" w:rsidRPr="00B74E3F" w:rsidRDefault="004635B7" w:rsidP="004635B7">
            <w:pPr>
              <w:pStyle w:val="TBodynormalNumber"/>
              <w:rPr>
                <w:rFonts w:ascii="Arial" w:hAnsi="Arial" w:cs="Arial"/>
              </w:rPr>
            </w:pPr>
            <w:r w:rsidRPr="00B74E3F">
              <w:rPr>
                <w:rFonts w:ascii="Arial" w:hAnsi="Arial"/>
                <w:color w:val="000000"/>
                <w:szCs w:val="13"/>
              </w:rPr>
              <w:t>-11.1</w:t>
            </w:r>
          </w:p>
        </w:tc>
      </w:tr>
      <w:tr w:rsidR="004635B7" w:rsidRPr="00B74E3F" w14:paraId="010291D5" w14:textId="2C90745E"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87BD501" w14:textId="50D798BE" w:rsidR="004635B7" w:rsidRPr="00B74E3F" w:rsidRDefault="004635B7" w:rsidP="004635B7">
            <w:pPr>
              <w:pStyle w:val="TBodynormalText"/>
              <w:rPr>
                <w:rFonts w:ascii="Arial" w:hAnsi="Arial" w:cs="Arial"/>
              </w:rPr>
            </w:pPr>
            <w:r w:rsidRPr="00B74E3F">
              <w:rPr>
                <w:rFonts w:ascii="Arial" w:hAnsi="Arial"/>
              </w:rPr>
              <w:t>Adjusted operating result (adjusted EBIT)</w:t>
            </w:r>
            <w:r w:rsidRPr="00B74E3F">
              <w:rPr>
                <w:rFonts w:ascii="Arial" w:hAnsi="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1A761CD" w14:textId="77777777" w:rsidR="004635B7" w:rsidRPr="00B74E3F" w:rsidRDefault="004635B7" w:rsidP="004635B7">
            <w:pPr>
              <w:pStyle w:val="TBodynormalNumber"/>
              <w:rPr>
                <w:rFonts w:ascii="Arial" w:hAnsi="Arial" w:cs="Arial"/>
              </w:rPr>
            </w:pPr>
            <w:r w:rsidRPr="00B74E3F">
              <w:rPr>
                <w:rFonts w:ascii="Arial" w:hAnsi="Arial"/>
              </w:rPr>
              <w:t>381.0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D5FD888" w14:textId="77777777" w:rsidR="004635B7" w:rsidRPr="00B74E3F" w:rsidRDefault="004635B7" w:rsidP="004635B7">
            <w:pPr>
              <w:pStyle w:val="TBodynormalNumber"/>
              <w:rPr>
                <w:rFonts w:ascii="Arial" w:hAnsi="Arial" w:cs="Arial"/>
              </w:rPr>
            </w:pPr>
            <w:r w:rsidRPr="00B74E3F">
              <w:rPr>
                <w:rFonts w:ascii="Arial" w:hAnsi="Arial"/>
              </w:rPr>
              <w:t>534.5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CCCF591" w14:textId="67EF28D2" w:rsidR="004635B7" w:rsidRPr="00B74E3F" w:rsidRDefault="004635B7" w:rsidP="004635B7">
            <w:pPr>
              <w:pStyle w:val="TBodynormalNumber"/>
              <w:rPr>
                <w:rFonts w:ascii="Arial" w:hAnsi="Arial" w:cs="Arial"/>
              </w:rPr>
            </w:pPr>
            <w:r w:rsidRPr="00B74E3F">
              <w:rPr>
                <w:rFonts w:ascii="Arial" w:hAnsi="Arial"/>
                <w:color w:val="000000"/>
                <w:szCs w:val="13"/>
              </w:rPr>
              <w:t>-28.7</w:t>
            </w:r>
          </w:p>
        </w:tc>
      </w:tr>
      <w:tr w:rsidR="004635B7" w:rsidRPr="00B74E3F" w14:paraId="6E8793D8" w14:textId="584C1538" w:rsidTr="00BB29F3">
        <w:trPr>
          <w:trHeight w:val="261"/>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5AA1433D" w14:textId="77777777" w:rsidR="004635B7" w:rsidRPr="00B74E3F" w:rsidRDefault="004635B7" w:rsidP="004635B7">
            <w:pPr>
              <w:pStyle w:val="TBodynormalText"/>
              <w:rPr>
                <w:rFonts w:ascii="Arial" w:hAnsi="Arial" w:cs="Arial"/>
              </w:rPr>
            </w:pPr>
            <w:r w:rsidRPr="00B74E3F">
              <w:rPr>
                <w:rFonts w:ascii="Arial" w:hAnsi="Arial"/>
              </w:rPr>
              <w:t>in % of adjusted sales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779D511A" w14:textId="77777777" w:rsidR="004635B7" w:rsidRPr="00B74E3F" w:rsidRDefault="004635B7" w:rsidP="004635B7">
            <w:pPr>
              <w:pStyle w:val="TBodynormalNumber"/>
              <w:rPr>
                <w:rFonts w:ascii="Arial" w:hAnsi="Arial" w:cs="Arial"/>
              </w:rPr>
            </w:pPr>
            <w:r w:rsidRPr="00B74E3F">
              <w:rPr>
                <w:rFonts w:ascii="Arial" w:hAnsi="Arial"/>
              </w:rPr>
              <w:t>9.8</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693D44DC" w14:textId="77777777" w:rsidR="004635B7" w:rsidRPr="00B74E3F" w:rsidRDefault="004635B7" w:rsidP="004635B7">
            <w:pPr>
              <w:pStyle w:val="TBodynormalNumber"/>
              <w:rPr>
                <w:rFonts w:ascii="Arial" w:hAnsi="Arial" w:cs="Arial"/>
              </w:rPr>
            </w:pPr>
            <w:r w:rsidRPr="00B74E3F">
              <w:rPr>
                <w:rFonts w:ascii="Arial" w:hAnsi="Arial"/>
              </w:rPr>
              <w:t>12.2</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79D6DB95" w14:textId="436C96CF" w:rsidR="004635B7" w:rsidRPr="00B74E3F" w:rsidRDefault="004635B7" w:rsidP="004635B7">
            <w:pPr>
              <w:pStyle w:val="TBodynormalNumber"/>
              <w:rPr>
                <w:rFonts w:ascii="Arial" w:hAnsi="Arial" w:cs="Arial"/>
              </w:rPr>
            </w:pPr>
            <w:r w:rsidRPr="00B74E3F">
              <w:rPr>
                <w:rFonts w:ascii="Arial" w:hAnsi="Arial"/>
                <w:color w:val="000000"/>
                <w:szCs w:val="13"/>
              </w:rPr>
              <w:t> </w:t>
            </w:r>
          </w:p>
        </w:tc>
      </w:tr>
      <w:tr w:rsidR="00FF2B76" w:rsidRPr="00B74E3F" w14:paraId="0054F50E" w14:textId="1F300587" w:rsidTr="00BB29F3">
        <w:trPr>
          <w:trHeight w:val="139"/>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623FC332"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43304D93"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2F1CD646" w14:textId="77777777" w:rsidR="00FF2B76" w:rsidRPr="00B74E3F"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1050DF24" w14:textId="77777777" w:rsidR="00FF2B76" w:rsidRPr="00B74E3F" w:rsidRDefault="00FF2B76" w:rsidP="00FF2B76">
            <w:pPr>
              <w:pStyle w:val="TDummyRow"/>
              <w:jc w:val="left"/>
              <w:rPr>
                <w:rFonts w:ascii="Arial" w:hAnsi="Arial" w:cs="Arial"/>
              </w:rPr>
            </w:pPr>
          </w:p>
        </w:tc>
      </w:tr>
    </w:tbl>
    <w:p w14:paraId="4990A3B9" w14:textId="5831085C" w:rsidR="007B25C2" w:rsidRPr="00B74E3F" w:rsidRDefault="007B25C2" w:rsidP="002D048A">
      <w:pPr>
        <w:pStyle w:val="TNote"/>
        <w:ind w:left="0" w:firstLine="0"/>
        <w:rPr>
          <w:rFonts w:ascii="Arial" w:hAnsi="Arial" w:cs="Arial"/>
        </w:rPr>
      </w:pPr>
    </w:p>
    <w:tbl>
      <w:tblPr>
        <w:tblOverlap w:val="never"/>
        <w:tblW w:w="9674" w:type="dxa"/>
        <w:tblLayout w:type="fixed"/>
        <w:tblCellMar>
          <w:left w:w="0" w:type="dxa"/>
          <w:right w:w="0" w:type="dxa"/>
        </w:tblCellMar>
        <w:tblLook w:val="04A0" w:firstRow="1" w:lastRow="0" w:firstColumn="1" w:lastColumn="0" w:noHBand="0" w:noVBand="1"/>
        <w:tblDescription w:val="_FLink_1T_UQkEHcZ5DuZöDöNciU_1&#10;_FLink_1T_UW8öYUXVPJFüüXajbJ_1"/>
      </w:tblPr>
      <w:tblGrid>
        <w:gridCol w:w="5567"/>
        <w:gridCol w:w="1369"/>
        <w:gridCol w:w="1369"/>
        <w:gridCol w:w="1369"/>
      </w:tblGrid>
      <w:tr w:rsidR="00A538A1" w:rsidRPr="00B74E3F" w14:paraId="23CD8501" w14:textId="77777777" w:rsidTr="00FF6E37">
        <w:trPr>
          <w:trHeight w:val="348"/>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789E7282" w14:textId="77777777" w:rsidR="00A538A1" w:rsidRPr="00B74E3F" w:rsidRDefault="00A538A1" w:rsidP="00725F48">
            <w:pPr>
              <w:pStyle w:val="THeadfirstText"/>
              <w:rPr>
                <w:rFonts w:ascii="Arial" w:hAnsi="Arial" w:cs="Arial"/>
              </w:rPr>
            </w:pPr>
            <w:r w:rsidRPr="00B74E3F">
              <w:rPr>
                <w:rFonts w:ascii="Arial" w:hAnsi="Arial"/>
              </w:rPr>
              <w:t> </w:t>
            </w: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05AEF3D9" w14:textId="53C3C53D" w:rsidR="00A538A1" w:rsidRPr="00B74E3F" w:rsidRDefault="00A538A1" w:rsidP="00725F48">
            <w:pPr>
              <w:pStyle w:val="THeadfirstNumber"/>
              <w:jc w:val="center"/>
              <w:rPr>
                <w:rFonts w:ascii="Arial" w:hAnsi="Arial" w:cs="Arial"/>
              </w:rPr>
            </w:pPr>
            <w:r w:rsidRPr="00B74E3F">
              <w:rPr>
                <w:rFonts w:ascii="Arial" w:hAnsi="Arial"/>
              </w:rPr>
              <w:t>January 1 to March 31</w:t>
            </w:r>
          </w:p>
        </w:tc>
      </w:tr>
      <w:tr w:rsidR="009B3C07" w:rsidRPr="00B74E3F" w14:paraId="0126B209" w14:textId="77777777" w:rsidTr="00725F48">
        <w:trPr>
          <w:trHeight w:val="232"/>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1E74418B" w14:textId="56C39D6D" w:rsidR="009B3C07" w:rsidRPr="00B74E3F" w:rsidRDefault="009B3C07" w:rsidP="009B3C07">
            <w:pPr>
              <w:pStyle w:val="THeadlastText"/>
              <w:rPr>
                <w:rFonts w:ascii="Arial" w:hAnsi="Arial" w:cs="Arial"/>
                <w:b/>
                <w:bCs/>
              </w:rPr>
            </w:pPr>
            <w:r w:rsidRPr="00B74E3F">
              <w:rPr>
                <w:rFonts w:ascii="Arial" w:hAnsi="Arial"/>
                <w:b/>
                <w:bCs/>
              </w:rPr>
              <w:t>Powertrain Technologies in € millions</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6D034497" w14:textId="78CEDFBC" w:rsidR="009B3C07" w:rsidRPr="00B74E3F" w:rsidRDefault="009B3C07" w:rsidP="009B3C07">
            <w:pPr>
              <w:pStyle w:val="THeadlastNumber"/>
              <w:rPr>
                <w:rFonts w:ascii="Arial" w:hAnsi="Arial" w:cs="Arial"/>
              </w:rPr>
            </w:pPr>
            <w:r w:rsidRPr="00B74E3F">
              <w:rPr>
                <w:rFonts w:ascii="Arial" w:hAnsi="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auto"/>
            <w:vAlign w:val="bottom"/>
          </w:tcPr>
          <w:p w14:paraId="316B3F8E" w14:textId="08E9F311" w:rsidR="009B3C07" w:rsidRPr="00B74E3F" w:rsidRDefault="009B3C07" w:rsidP="009B3C07">
            <w:pPr>
              <w:pStyle w:val="THeadlastNumber"/>
              <w:rPr>
                <w:rFonts w:ascii="Arial" w:hAnsi="Arial" w:cs="Arial"/>
              </w:rPr>
            </w:pPr>
            <w:r w:rsidRPr="00B74E3F">
              <w:rPr>
                <w:rFonts w:ascii="Arial" w:hAnsi="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auto"/>
          </w:tcPr>
          <w:p w14:paraId="7A71F73C" w14:textId="77777777" w:rsidR="009B3C07" w:rsidRPr="00B74E3F" w:rsidRDefault="009B3C07" w:rsidP="009B3C07">
            <w:pPr>
              <w:pStyle w:val="THeadlastNumber"/>
              <w:rPr>
                <w:rFonts w:ascii="Arial" w:hAnsi="Arial" w:cs="Arial"/>
              </w:rPr>
            </w:pPr>
            <w:r w:rsidRPr="00B74E3F">
              <w:rPr>
                <w:rFonts w:ascii="Arial" w:hAnsi="Arial"/>
              </w:rPr>
              <w:t>Δ in %</w:t>
            </w:r>
          </w:p>
        </w:tc>
      </w:tr>
      <w:tr w:rsidR="0018402B" w:rsidRPr="00B74E3F" w14:paraId="4441E3B7" w14:textId="77777777" w:rsidTr="00BB29F3">
        <w:trPr>
          <w:trHeight w:val="232"/>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4488B2D9" w14:textId="2EE87AE4" w:rsidR="0018402B" w:rsidRPr="00B74E3F" w:rsidRDefault="0018402B" w:rsidP="0018402B">
            <w:pPr>
              <w:pStyle w:val="TBodynormalText"/>
              <w:rPr>
                <w:rFonts w:ascii="Arial" w:hAnsi="Arial" w:cs="Arial"/>
              </w:rPr>
            </w:pPr>
            <w:r w:rsidRPr="00B74E3F">
              <w:rPr>
                <w:rFonts w:ascii="Arial" w:hAnsi="Arial"/>
              </w:rPr>
              <w:t>Sales</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4B4215C9" w14:textId="705327F9" w:rsidR="0018402B" w:rsidRPr="00B74E3F" w:rsidRDefault="0018402B" w:rsidP="0018402B">
            <w:pPr>
              <w:pStyle w:val="TBodynormalNumber"/>
              <w:rPr>
                <w:rFonts w:ascii="Arial" w:hAnsi="Arial" w:cs="Arial"/>
              </w:rPr>
            </w:pPr>
            <w:r w:rsidRPr="00B74E3F">
              <w:rPr>
                <w:rFonts w:ascii="Arial" w:hAnsi="Arial"/>
              </w:rPr>
              <w:t>1,829.0</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414A94FD" w14:textId="22D1EF2D" w:rsidR="0018402B" w:rsidRPr="00B74E3F" w:rsidRDefault="0018402B" w:rsidP="0018402B">
            <w:pPr>
              <w:pStyle w:val="TBodynormalNumber"/>
              <w:rPr>
                <w:rFonts w:ascii="Arial" w:hAnsi="Arial" w:cs="Arial"/>
              </w:rPr>
            </w:pPr>
            <w:r w:rsidRPr="00B74E3F">
              <w:rPr>
                <w:rFonts w:ascii="Arial" w:hAnsi="Arial"/>
              </w:rPr>
              <w:t>2,005.6</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654286FF" w14:textId="5CFDF0CB" w:rsidR="0018402B" w:rsidRPr="00B74E3F" w:rsidRDefault="0018402B" w:rsidP="0018402B">
            <w:pPr>
              <w:pStyle w:val="TBodynormalNumber"/>
              <w:rPr>
                <w:rFonts w:ascii="Arial" w:hAnsi="Arial" w:cs="Arial"/>
              </w:rPr>
            </w:pPr>
            <w:r w:rsidRPr="00B74E3F">
              <w:rPr>
                <w:rFonts w:ascii="Arial" w:hAnsi="Arial"/>
                <w:color w:val="000000"/>
                <w:szCs w:val="13"/>
              </w:rPr>
              <w:t>-8.8</w:t>
            </w:r>
          </w:p>
        </w:tc>
      </w:tr>
      <w:tr w:rsidR="0018402B" w:rsidRPr="00B74E3F" w14:paraId="558EC873"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EC9BFB8" w14:textId="7A38B996" w:rsidR="0018402B" w:rsidRPr="00B74E3F" w:rsidRDefault="0018402B" w:rsidP="0018402B">
            <w:pPr>
              <w:pStyle w:val="TBodynormalText"/>
              <w:rPr>
                <w:rFonts w:ascii="Arial" w:hAnsi="Arial" w:cs="Arial"/>
              </w:rPr>
            </w:pPr>
            <w:r w:rsidRPr="00B74E3F">
              <w:rPr>
                <w:rFonts w:ascii="Arial" w:hAnsi="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CCCC053" w14:textId="19B24C80" w:rsidR="0018402B" w:rsidRPr="00B74E3F" w:rsidRDefault="0018402B" w:rsidP="0018402B">
            <w:pPr>
              <w:pStyle w:val="TBodynormalNumber"/>
              <w:rPr>
                <w:rFonts w:ascii="Arial" w:hAnsi="Arial" w:cs="Arial"/>
              </w:rPr>
            </w:pPr>
            <w:r w:rsidRPr="00B74E3F">
              <w:rPr>
                <w:rFonts w:ascii="Arial" w:hAnsi="Arial"/>
              </w:rPr>
              <w:t>116.5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5FAF8C3" w14:textId="34CAEB8B" w:rsidR="0018402B" w:rsidRPr="00B74E3F" w:rsidRDefault="0018402B" w:rsidP="0018402B">
            <w:pPr>
              <w:pStyle w:val="TBodynormalNumber"/>
              <w:rPr>
                <w:rFonts w:ascii="Arial" w:hAnsi="Arial" w:cs="Arial"/>
              </w:rPr>
            </w:pPr>
            <w:r w:rsidRPr="00B74E3F">
              <w:rPr>
                <w:rFonts w:ascii="Arial" w:hAnsi="Arial"/>
              </w:rPr>
              <w:t>186.0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82604B1" w14:textId="150B7E81" w:rsidR="0018402B" w:rsidRPr="00B74E3F" w:rsidRDefault="0018402B" w:rsidP="0018402B">
            <w:pPr>
              <w:pStyle w:val="TBodynormalNumber"/>
              <w:rPr>
                <w:rFonts w:ascii="Arial" w:hAnsi="Arial" w:cs="Arial"/>
              </w:rPr>
            </w:pPr>
            <w:r w:rsidRPr="00B74E3F">
              <w:rPr>
                <w:rFonts w:ascii="Arial" w:hAnsi="Arial"/>
                <w:color w:val="000000"/>
                <w:szCs w:val="13"/>
              </w:rPr>
              <w:t>-37.4</w:t>
            </w:r>
          </w:p>
        </w:tc>
      </w:tr>
      <w:tr w:rsidR="0018402B" w:rsidRPr="00B74E3F" w14:paraId="2C8804EE"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1ACCEEC" w14:textId="0E406AD0" w:rsidR="0018402B" w:rsidRPr="00B74E3F" w:rsidRDefault="0018402B" w:rsidP="0018402B">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D8B2A32" w14:textId="54493325" w:rsidR="0018402B" w:rsidRPr="00B74E3F" w:rsidRDefault="0018402B" w:rsidP="0018402B">
            <w:pPr>
              <w:pStyle w:val="TBodynormalNumber"/>
              <w:rPr>
                <w:rFonts w:ascii="Arial" w:hAnsi="Arial" w:cs="Arial"/>
              </w:rPr>
            </w:pPr>
            <w:r w:rsidRPr="00B74E3F">
              <w:rPr>
                <w:rFonts w:ascii="Arial" w:hAnsi="Arial"/>
              </w:rPr>
              <w:t>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EDEA0AD" w14:textId="735CBB60" w:rsidR="0018402B" w:rsidRPr="00B74E3F" w:rsidRDefault="0018402B" w:rsidP="0018402B">
            <w:pPr>
              <w:pStyle w:val="TBodynormalNumber"/>
              <w:rPr>
                <w:rFonts w:ascii="Arial" w:hAnsi="Arial" w:cs="Arial"/>
              </w:rPr>
            </w:pPr>
            <w:r w:rsidRPr="00B74E3F">
              <w:rPr>
                <w:rFonts w:ascii="Arial" w:hAnsi="Arial"/>
              </w:rPr>
              <w:t>9.3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DC6BE86" w14:textId="0B7D1FDC"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55AC3CA5"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931E7AA" w14:textId="0FDE05B1" w:rsidR="0018402B" w:rsidRPr="00B74E3F" w:rsidRDefault="0018402B" w:rsidP="0018402B">
            <w:pPr>
              <w:pStyle w:val="TBodynormalText"/>
              <w:rPr>
                <w:rFonts w:ascii="Arial" w:hAnsi="Arial" w:cs="Arial"/>
              </w:rPr>
            </w:pPr>
            <w:r w:rsidRPr="00B74E3F">
              <w:rPr>
                <w:rFonts w:ascii="Arial" w:hAnsi="Arial"/>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A91505C" w14:textId="68727CF7" w:rsidR="0018402B" w:rsidRPr="00B74E3F" w:rsidRDefault="0018402B" w:rsidP="0018402B">
            <w:pPr>
              <w:pStyle w:val="TBodynormalNumber"/>
              <w:rPr>
                <w:rFonts w:ascii="Arial" w:hAnsi="Arial" w:cs="Arial"/>
              </w:rPr>
            </w:pPr>
            <w:r w:rsidRPr="00B74E3F">
              <w:rPr>
                <w:rFonts w:ascii="Arial" w:hAnsi="Arial"/>
              </w:rPr>
              <w:t>-22.9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3C4869C" w14:textId="73DE39C3" w:rsidR="0018402B" w:rsidRPr="00B74E3F" w:rsidRDefault="0018402B" w:rsidP="0018402B">
            <w:pPr>
              <w:pStyle w:val="TBodynormalNumber"/>
              <w:rPr>
                <w:rFonts w:ascii="Arial" w:hAnsi="Arial" w:cs="Arial"/>
              </w:rPr>
            </w:pPr>
            <w:r w:rsidRPr="00B74E3F">
              <w:rPr>
                <w:rFonts w:ascii="Arial" w:hAnsi="Arial"/>
              </w:rPr>
              <w:t>60.9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56CB018" w14:textId="7500DDC5" w:rsidR="0018402B" w:rsidRPr="00B74E3F" w:rsidRDefault="0018402B" w:rsidP="0018402B">
            <w:pPr>
              <w:pStyle w:val="TBodynormalNumber"/>
              <w:rPr>
                <w:rFonts w:ascii="Arial" w:hAnsi="Arial" w:cs="Arial"/>
              </w:rPr>
            </w:pPr>
            <w:r w:rsidRPr="00B74E3F">
              <w:rPr>
                <w:rFonts w:ascii="Arial" w:hAnsi="Arial"/>
                <w:color w:val="000000"/>
                <w:szCs w:val="13"/>
              </w:rPr>
              <w:t>-137.6</w:t>
            </w:r>
          </w:p>
        </w:tc>
      </w:tr>
      <w:tr w:rsidR="0018402B" w:rsidRPr="00B74E3F" w14:paraId="7865F8BB"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B9F5B0F" w14:textId="4BBBEC94" w:rsidR="0018402B" w:rsidRPr="00B74E3F" w:rsidRDefault="0018402B" w:rsidP="0018402B">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B75357A" w14:textId="6FBE995A" w:rsidR="0018402B" w:rsidRPr="00B74E3F" w:rsidRDefault="0018402B" w:rsidP="0018402B">
            <w:pPr>
              <w:pStyle w:val="TBodynormalNumber"/>
              <w:rPr>
                <w:rFonts w:ascii="Arial" w:hAnsi="Arial" w:cs="Arial"/>
              </w:rPr>
            </w:pPr>
            <w:r w:rsidRPr="00B74E3F">
              <w:rPr>
                <w:rFonts w:ascii="Arial" w:hAnsi="Arial"/>
              </w:rPr>
              <w:t>-1.3</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A9159CC" w14:textId="7A5BF28C" w:rsidR="0018402B" w:rsidRPr="00B74E3F" w:rsidRDefault="0018402B" w:rsidP="0018402B">
            <w:pPr>
              <w:pStyle w:val="TBodynormalNumber"/>
              <w:rPr>
                <w:rFonts w:ascii="Arial" w:hAnsi="Arial" w:cs="Arial"/>
              </w:rPr>
            </w:pPr>
            <w:r w:rsidRPr="00B74E3F">
              <w:rPr>
                <w:rFonts w:ascii="Arial" w:hAnsi="Arial"/>
              </w:rPr>
              <w:t>3.0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52E9DBB" w14:textId="47E2347A"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55E24179"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B040A0D" w14:textId="411E1BEB" w:rsidR="0018402B" w:rsidRPr="00B74E3F" w:rsidRDefault="0018402B" w:rsidP="0018402B">
            <w:pPr>
              <w:pStyle w:val="TBodynormalText"/>
              <w:rPr>
                <w:rFonts w:ascii="Arial" w:hAnsi="Arial" w:cs="Arial"/>
              </w:rPr>
            </w:pPr>
            <w:r w:rsidRPr="00B74E3F">
              <w:rPr>
                <w:rFonts w:ascii="Arial" w:hAnsi="Arial"/>
              </w:rPr>
              <w:t>Research and development expenses (net)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502991E" w14:textId="771EB107" w:rsidR="0018402B" w:rsidRPr="00B74E3F" w:rsidRDefault="0018402B" w:rsidP="0018402B">
            <w:pPr>
              <w:pStyle w:val="TBodynormalNumber"/>
              <w:rPr>
                <w:rFonts w:ascii="Arial" w:hAnsi="Arial" w:cs="Arial"/>
              </w:rPr>
            </w:pPr>
            <w:r w:rsidRPr="00B74E3F">
              <w:rPr>
                <w:rFonts w:ascii="Arial" w:hAnsi="Arial"/>
              </w:rPr>
              <w:t>190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FB9129A" w14:textId="4EF5E97B" w:rsidR="0018402B" w:rsidRPr="00B74E3F" w:rsidRDefault="0018402B" w:rsidP="0018402B">
            <w:pPr>
              <w:pStyle w:val="TBodynormalNumber"/>
              <w:rPr>
                <w:rFonts w:ascii="Arial" w:hAnsi="Arial" w:cs="Arial"/>
              </w:rPr>
            </w:pPr>
            <w:r w:rsidRPr="00B74E3F">
              <w:rPr>
                <w:rFonts w:ascii="Arial" w:hAnsi="Arial"/>
              </w:rPr>
              <w:t>183.1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A0B7DB4" w14:textId="3D48D6A3" w:rsidR="0018402B" w:rsidRPr="00B74E3F" w:rsidRDefault="0018402B" w:rsidP="0018402B">
            <w:pPr>
              <w:pStyle w:val="TBodynormalNumber"/>
              <w:rPr>
                <w:rFonts w:ascii="Arial" w:hAnsi="Arial" w:cs="Arial"/>
              </w:rPr>
            </w:pPr>
            <w:r w:rsidRPr="00B74E3F">
              <w:rPr>
                <w:rFonts w:ascii="Arial" w:hAnsi="Arial"/>
                <w:color w:val="000000"/>
                <w:szCs w:val="13"/>
              </w:rPr>
              <w:t>3.8</w:t>
            </w:r>
          </w:p>
        </w:tc>
      </w:tr>
      <w:tr w:rsidR="0018402B" w:rsidRPr="00B74E3F" w14:paraId="3B195714"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3F6AC0D" w14:textId="3B21EE4C" w:rsidR="0018402B" w:rsidRPr="00B74E3F" w:rsidRDefault="0018402B" w:rsidP="0018402B">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9335A8C" w14:textId="0F46A202" w:rsidR="0018402B" w:rsidRPr="00B74E3F" w:rsidRDefault="0018402B" w:rsidP="0018402B">
            <w:pPr>
              <w:pStyle w:val="TBodynormalNumber"/>
              <w:rPr>
                <w:rFonts w:ascii="Arial" w:hAnsi="Arial" w:cs="Arial"/>
              </w:rPr>
            </w:pPr>
            <w:r w:rsidRPr="00B74E3F">
              <w:rPr>
                <w:rFonts w:ascii="Arial" w:hAnsi="Arial"/>
              </w:rPr>
              <w:t>10.4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2256EF3" w14:textId="56257CBE" w:rsidR="0018402B" w:rsidRPr="00B74E3F" w:rsidRDefault="0018402B" w:rsidP="0018402B">
            <w:pPr>
              <w:pStyle w:val="TBodynormalNumber"/>
              <w:rPr>
                <w:rFonts w:ascii="Arial" w:hAnsi="Arial" w:cs="Arial"/>
              </w:rPr>
            </w:pPr>
            <w:r w:rsidRPr="00B74E3F">
              <w:rPr>
                <w:rFonts w:ascii="Arial" w:hAnsi="Arial"/>
              </w:rPr>
              <w:t>9.1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11E1BB2" w14:textId="52057DB6"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7DAC5676"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62E64D1" w14:textId="77F2EC84" w:rsidR="0018402B" w:rsidRPr="00B74E3F" w:rsidRDefault="0018402B" w:rsidP="0018402B">
            <w:pPr>
              <w:pStyle w:val="TBodynormalText"/>
              <w:rPr>
                <w:rFonts w:ascii="Arial" w:hAnsi="Arial" w:cs="Arial"/>
              </w:rPr>
            </w:pPr>
            <w:r w:rsidRPr="00B74E3F">
              <w:rPr>
                <w:rFonts w:ascii="Arial" w:hAnsi="Arial"/>
              </w:rPr>
              <w:t>Capital expenditure</w:t>
            </w:r>
            <w:r w:rsidRPr="00B74E3F">
              <w:rPr>
                <w:rFonts w:ascii="Arial" w:hAnsi="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CDE9BDD" w14:textId="3D6878EB" w:rsidR="0018402B" w:rsidRPr="00B74E3F" w:rsidRDefault="0018402B" w:rsidP="0018402B">
            <w:pPr>
              <w:pStyle w:val="TBodynormalNumber"/>
              <w:rPr>
                <w:rFonts w:ascii="Arial" w:hAnsi="Arial" w:cs="Arial"/>
              </w:rPr>
            </w:pPr>
            <w:r w:rsidRPr="00B74E3F">
              <w:rPr>
                <w:rFonts w:ascii="Arial" w:hAnsi="Arial"/>
              </w:rPr>
              <w:t>104.2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30E4361" w14:textId="6BF397AD" w:rsidR="0018402B" w:rsidRPr="00B74E3F" w:rsidRDefault="0018402B" w:rsidP="0018402B">
            <w:pPr>
              <w:pStyle w:val="TBodynormalNumber"/>
              <w:rPr>
                <w:rFonts w:ascii="Arial" w:hAnsi="Arial" w:cs="Arial"/>
              </w:rPr>
            </w:pPr>
            <w:r w:rsidRPr="00B74E3F">
              <w:rPr>
                <w:rFonts w:ascii="Arial" w:hAnsi="Arial"/>
              </w:rPr>
              <w:t>131.3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53BAEC4" w14:textId="2E5EFFA9" w:rsidR="0018402B" w:rsidRPr="00B74E3F" w:rsidRDefault="0018402B" w:rsidP="0018402B">
            <w:pPr>
              <w:pStyle w:val="TBodynormalNumber"/>
              <w:rPr>
                <w:rFonts w:ascii="Arial" w:hAnsi="Arial" w:cs="Arial"/>
              </w:rPr>
            </w:pPr>
            <w:r w:rsidRPr="00B74E3F">
              <w:rPr>
                <w:rFonts w:ascii="Arial" w:hAnsi="Arial"/>
                <w:color w:val="000000"/>
                <w:szCs w:val="13"/>
              </w:rPr>
              <w:t>-20.6</w:t>
            </w:r>
          </w:p>
        </w:tc>
      </w:tr>
      <w:tr w:rsidR="0018402B" w:rsidRPr="00B74E3F" w14:paraId="5F97BD48"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77DF516" w14:textId="49E26A48" w:rsidR="0018402B" w:rsidRPr="00B74E3F" w:rsidRDefault="0018402B" w:rsidP="0018402B">
            <w:pPr>
              <w:pStyle w:val="TBodynormalText"/>
              <w:rPr>
                <w:rFonts w:ascii="Arial" w:hAnsi="Arial" w:cs="Arial"/>
              </w:rPr>
            </w:pPr>
            <w:r w:rsidRPr="00B74E3F">
              <w:rPr>
                <w:rFonts w:ascii="Arial" w:hAnsi="Arial"/>
              </w:rPr>
              <w:t>in % of sales</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6302F87" w14:textId="37B765A7" w:rsidR="0018402B" w:rsidRPr="00B74E3F" w:rsidRDefault="0018402B" w:rsidP="0018402B">
            <w:pPr>
              <w:pStyle w:val="TBodynormalNumber"/>
              <w:rPr>
                <w:rFonts w:ascii="Arial" w:hAnsi="Arial" w:cs="Arial"/>
              </w:rPr>
            </w:pPr>
            <w:r w:rsidRPr="00B74E3F">
              <w:rPr>
                <w:rFonts w:ascii="Arial" w:hAnsi="Arial"/>
              </w:rPr>
              <w:t>5.7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19BFC0C" w14:textId="14BDD067" w:rsidR="0018402B" w:rsidRPr="00B74E3F" w:rsidRDefault="0018402B" w:rsidP="0018402B">
            <w:pPr>
              <w:pStyle w:val="TBodynormalNumber"/>
              <w:rPr>
                <w:rFonts w:ascii="Arial" w:hAnsi="Arial" w:cs="Arial"/>
              </w:rPr>
            </w:pPr>
            <w:r w:rsidRPr="00B74E3F">
              <w:rPr>
                <w:rFonts w:ascii="Arial" w:hAnsi="Arial"/>
              </w:rPr>
              <w:t>6.5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821466D" w14:textId="25A8FD26"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583C08EE"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B454C65" w14:textId="50F0CCF8" w:rsidR="0018402B" w:rsidRPr="00B74E3F" w:rsidRDefault="0018402B" w:rsidP="0018402B">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C90A559" w14:textId="40F41FDC" w:rsidR="0018402B" w:rsidRPr="00B74E3F" w:rsidRDefault="0018402B" w:rsidP="0018402B">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423F4F7" w14:textId="7077059F" w:rsidR="0018402B" w:rsidRPr="00B74E3F" w:rsidRDefault="0018402B" w:rsidP="0018402B">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27972F6" w14:textId="5F046BBA"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1B02F163"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22F69D5" w14:textId="211FA8A3" w:rsidR="0018402B" w:rsidRPr="00B74E3F" w:rsidRDefault="0018402B" w:rsidP="0018402B">
            <w:pPr>
              <w:pStyle w:val="TBodynormalText"/>
              <w:rPr>
                <w:rFonts w:ascii="Arial" w:hAnsi="Arial" w:cs="Arial"/>
              </w:rPr>
            </w:pPr>
            <w:r w:rsidRPr="00B74E3F">
              <w:rPr>
                <w:rFonts w:ascii="Arial" w:hAnsi="Arial"/>
              </w:rPr>
              <w:t>Number of employees as at March 31</w:t>
            </w:r>
            <w:r w:rsidRPr="00B74E3F">
              <w:rPr>
                <w:rFonts w:ascii="Arial" w:hAnsi="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FFBBBEA" w14:textId="56954310" w:rsidR="0018402B" w:rsidRPr="00B74E3F" w:rsidRDefault="0018402B" w:rsidP="0018402B">
            <w:pPr>
              <w:pStyle w:val="TBodynormalNumber"/>
              <w:rPr>
                <w:rFonts w:ascii="Arial" w:hAnsi="Arial" w:cs="Arial"/>
              </w:rPr>
            </w:pPr>
            <w:r w:rsidRPr="00B74E3F">
              <w:rPr>
                <w:rFonts w:ascii="Arial" w:hAnsi="Arial"/>
              </w:rPr>
              <w:t>39,844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764C7F1" w14:textId="373AB273" w:rsidR="0018402B" w:rsidRPr="00B74E3F" w:rsidRDefault="0018402B" w:rsidP="0018402B">
            <w:pPr>
              <w:pStyle w:val="TBodynormalNumber"/>
              <w:rPr>
                <w:rFonts w:ascii="Arial" w:hAnsi="Arial" w:cs="Arial"/>
              </w:rPr>
            </w:pPr>
            <w:r w:rsidRPr="00B74E3F">
              <w:rPr>
                <w:rFonts w:ascii="Arial" w:hAnsi="Arial"/>
              </w:rPr>
              <w:t>43,331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0572A6A" w14:textId="0D82C513" w:rsidR="0018402B" w:rsidRPr="00B74E3F" w:rsidRDefault="0018402B" w:rsidP="0018402B">
            <w:pPr>
              <w:pStyle w:val="TBodynormalNumber"/>
              <w:rPr>
                <w:rFonts w:ascii="Arial" w:hAnsi="Arial" w:cs="Arial"/>
              </w:rPr>
            </w:pPr>
            <w:r w:rsidRPr="00B74E3F">
              <w:rPr>
                <w:rFonts w:ascii="Arial" w:hAnsi="Arial"/>
                <w:color w:val="000000"/>
                <w:szCs w:val="13"/>
              </w:rPr>
              <w:t>-8.0</w:t>
            </w:r>
          </w:p>
        </w:tc>
      </w:tr>
      <w:tr w:rsidR="0018402B" w:rsidRPr="00B74E3F" w14:paraId="1E4D9296"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AF32460" w14:textId="7741E016" w:rsidR="0018402B" w:rsidRPr="00B74E3F" w:rsidRDefault="0018402B" w:rsidP="0018402B">
            <w:pPr>
              <w:pStyle w:val="TBodynormalText"/>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CC766AB" w14:textId="3DF3E7D8" w:rsidR="0018402B" w:rsidRPr="00B74E3F" w:rsidRDefault="0018402B" w:rsidP="0018402B">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8BA8842" w14:textId="420666AC" w:rsidR="0018402B" w:rsidRPr="00B74E3F" w:rsidRDefault="0018402B" w:rsidP="0018402B">
            <w:pPr>
              <w:pStyle w:val="TBodynormalNumber"/>
              <w:rPr>
                <w:rFonts w:ascii="Arial" w:hAnsi="Arial" w:cs="Arial"/>
              </w:rPr>
            </w:pPr>
            <w:r w:rsidRPr="00B74E3F">
              <w:rPr>
                <w:rFonts w:ascii="Arial" w:hAnsi="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70A3986" w14:textId="37D1BA70"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18402B" w:rsidRPr="00B74E3F" w14:paraId="6E70F247"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0FD5438" w14:textId="5B2A7ADF" w:rsidR="0018402B" w:rsidRPr="00B74E3F" w:rsidRDefault="0018402B" w:rsidP="0018402B">
            <w:pPr>
              <w:pStyle w:val="TBodynormalText"/>
              <w:rPr>
                <w:rFonts w:ascii="Arial" w:hAnsi="Arial" w:cs="Arial"/>
              </w:rPr>
            </w:pPr>
            <w:r w:rsidRPr="00B74E3F">
              <w:rPr>
                <w:rFonts w:ascii="Arial" w:hAnsi="Arial"/>
              </w:rPr>
              <w:t>Adjusted sales</w:t>
            </w:r>
            <w:r w:rsidRPr="00B74E3F">
              <w:rPr>
                <w:rFonts w:ascii="Arial" w:hAnsi="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194A603" w14:textId="50129445" w:rsidR="0018402B" w:rsidRPr="00B74E3F" w:rsidRDefault="0018402B" w:rsidP="0018402B">
            <w:pPr>
              <w:pStyle w:val="TBodynormalNumber"/>
              <w:rPr>
                <w:rFonts w:ascii="Arial" w:hAnsi="Arial" w:cs="Arial"/>
              </w:rPr>
            </w:pPr>
            <w:r w:rsidRPr="00B74E3F">
              <w:rPr>
                <w:rFonts w:ascii="Arial" w:hAnsi="Arial"/>
              </w:rPr>
              <w:t>1,829.0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EB18760" w14:textId="68847832" w:rsidR="0018402B" w:rsidRPr="00B74E3F" w:rsidRDefault="0018402B" w:rsidP="0018402B">
            <w:pPr>
              <w:pStyle w:val="TBodynormalNumber"/>
              <w:rPr>
                <w:rFonts w:ascii="Arial" w:hAnsi="Arial" w:cs="Arial"/>
              </w:rPr>
            </w:pPr>
            <w:r w:rsidRPr="00B74E3F">
              <w:rPr>
                <w:rFonts w:ascii="Arial" w:hAnsi="Arial"/>
              </w:rPr>
              <w:t>2,005.6</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BA32FE2" w14:textId="6CCF12BC" w:rsidR="0018402B" w:rsidRPr="00B74E3F" w:rsidRDefault="0018402B" w:rsidP="0018402B">
            <w:pPr>
              <w:pStyle w:val="TBodynormalNumber"/>
              <w:rPr>
                <w:rFonts w:ascii="Arial" w:hAnsi="Arial" w:cs="Arial"/>
              </w:rPr>
            </w:pPr>
            <w:r w:rsidRPr="00B74E3F">
              <w:rPr>
                <w:rFonts w:ascii="Arial" w:hAnsi="Arial"/>
                <w:color w:val="000000"/>
                <w:szCs w:val="13"/>
              </w:rPr>
              <w:t>-8.8</w:t>
            </w:r>
          </w:p>
        </w:tc>
      </w:tr>
      <w:tr w:rsidR="0018402B" w:rsidRPr="00B74E3F" w14:paraId="7CE8C23D"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E0B6D53" w14:textId="7215954D" w:rsidR="0018402B" w:rsidRPr="00B74E3F" w:rsidRDefault="0018402B" w:rsidP="0018402B">
            <w:pPr>
              <w:pStyle w:val="TBodynormalText"/>
              <w:rPr>
                <w:rFonts w:ascii="Arial" w:hAnsi="Arial" w:cs="Arial"/>
              </w:rPr>
            </w:pPr>
            <w:r w:rsidRPr="00B74E3F">
              <w:rPr>
                <w:rFonts w:ascii="Arial" w:hAnsi="Arial"/>
              </w:rPr>
              <w:t>Adjusted operating result (adjusted EBIT)</w:t>
            </w:r>
            <w:r w:rsidRPr="00B74E3F">
              <w:rPr>
                <w:rFonts w:ascii="Arial" w:hAnsi="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76DF9C6" w14:textId="41563296" w:rsidR="0018402B" w:rsidRPr="00B74E3F" w:rsidRDefault="0018402B" w:rsidP="0018402B">
            <w:pPr>
              <w:pStyle w:val="TBodynormalNumber"/>
              <w:rPr>
                <w:rFonts w:ascii="Arial" w:hAnsi="Arial" w:cs="Arial"/>
              </w:rPr>
            </w:pPr>
            <w:r w:rsidRPr="00B74E3F">
              <w:rPr>
                <w:rFonts w:ascii="Arial" w:hAnsi="Arial"/>
              </w:rPr>
              <w:t>11.9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113D4B4" w14:textId="704993B7" w:rsidR="0018402B" w:rsidRPr="00B74E3F" w:rsidRDefault="0018402B" w:rsidP="0018402B">
            <w:pPr>
              <w:pStyle w:val="TBodynormalNumber"/>
              <w:rPr>
                <w:rFonts w:ascii="Arial" w:hAnsi="Arial" w:cs="Arial"/>
              </w:rPr>
            </w:pPr>
            <w:r w:rsidRPr="00B74E3F">
              <w:rPr>
                <w:rFonts w:ascii="Arial" w:hAnsi="Arial"/>
              </w:rPr>
              <w:t>78.9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0D3EAF0" w14:textId="5F0EB646" w:rsidR="0018402B" w:rsidRPr="00B74E3F" w:rsidRDefault="0018402B" w:rsidP="0018402B">
            <w:pPr>
              <w:pStyle w:val="TBodynormalNumber"/>
              <w:rPr>
                <w:rFonts w:ascii="Arial" w:hAnsi="Arial" w:cs="Arial"/>
              </w:rPr>
            </w:pPr>
            <w:r w:rsidRPr="00B74E3F">
              <w:rPr>
                <w:rFonts w:ascii="Arial" w:hAnsi="Arial"/>
                <w:color w:val="000000"/>
                <w:szCs w:val="13"/>
              </w:rPr>
              <w:t>-84.9</w:t>
            </w:r>
          </w:p>
        </w:tc>
      </w:tr>
      <w:tr w:rsidR="0018402B" w:rsidRPr="00B74E3F" w14:paraId="5EC08BD9" w14:textId="77777777" w:rsidTr="00BB29F3">
        <w:trPr>
          <w:trHeight w:val="261"/>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0870A230" w14:textId="3453E52A" w:rsidR="0018402B" w:rsidRPr="00B74E3F" w:rsidRDefault="0018402B" w:rsidP="0018402B">
            <w:pPr>
              <w:pStyle w:val="TBodynormalText"/>
              <w:rPr>
                <w:rFonts w:ascii="Arial" w:hAnsi="Arial" w:cs="Arial"/>
              </w:rPr>
            </w:pPr>
            <w:r w:rsidRPr="00B74E3F">
              <w:rPr>
                <w:rFonts w:ascii="Arial" w:hAnsi="Arial"/>
              </w:rPr>
              <w:t>in % of adjusted sales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640AC102" w14:textId="29EB8953" w:rsidR="0018402B" w:rsidRPr="00B74E3F" w:rsidRDefault="0018402B" w:rsidP="0018402B">
            <w:pPr>
              <w:pStyle w:val="TBodynormalNumber"/>
              <w:rPr>
                <w:rFonts w:ascii="Arial" w:hAnsi="Arial" w:cs="Arial"/>
              </w:rPr>
            </w:pPr>
            <w:r w:rsidRPr="00B74E3F">
              <w:rPr>
                <w:rFonts w:ascii="Arial" w:hAnsi="Arial"/>
              </w:rPr>
              <w:t>0.7</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0B9B6510" w14:textId="36499A9B" w:rsidR="0018402B" w:rsidRPr="00B74E3F" w:rsidRDefault="0018402B" w:rsidP="0018402B">
            <w:pPr>
              <w:pStyle w:val="TBodynormalNumber"/>
              <w:rPr>
                <w:rFonts w:ascii="Arial" w:hAnsi="Arial" w:cs="Arial"/>
              </w:rPr>
            </w:pPr>
            <w:r w:rsidRPr="00B74E3F">
              <w:rPr>
                <w:rFonts w:ascii="Arial" w:hAnsi="Arial"/>
              </w:rPr>
              <w:t>3.9</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6380C98A" w14:textId="1FC203E5" w:rsidR="0018402B" w:rsidRPr="00B74E3F" w:rsidRDefault="0018402B" w:rsidP="0018402B">
            <w:pPr>
              <w:pStyle w:val="TBodynormalNumber"/>
              <w:rPr>
                <w:rFonts w:ascii="Arial" w:hAnsi="Arial" w:cs="Arial"/>
              </w:rPr>
            </w:pPr>
            <w:r w:rsidRPr="00B74E3F">
              <w:rPr>
                <w:rFonts w:ascii="Arial" w:hAnsi="Arial"/>
                <w:color w:val="000000"/>
                <w:szCs w:val="13"/>
              </w:rPr>
              <w:t> </w:t>
            </w:r>
          </w:p>
        </w:tc>
      </w:tr>
      <w:tr w:rsidR="009B3C07" w:rsidRPr="00B74E3F" w14:paraId="496847CC" w14:textId="77777777" w:rsidTr="00725F48">
        <w:trPr>
          <w:trHeight w:val="139"/>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1BC1E012" w14:textId="77777777" w:rsidR="009B3C07" w:rsidRPr="00B74E3F"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77BDDD04" w14:textId="77777777" w:rsidR="009B3C07" w:rsidRPr="00B74E3F"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49D4D16C" w14:textId="77777777" w:rsidR="009B3C07" w:rsidRPr="00B74E3F"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0472F687" w14:textId="77777777" w:rsidR="009B3C07" w:rsidRPr="00B74E3F" w:rsidRDefault="009B3C07" w:rsidP="009B3C07">
            <w:pPr>
              <w:pStyle w:val="TDummyRow"/>
              <w:jc w:val="left"/>
              <w:rPr>
                <w:rFonts w:ascii="Arial" w:hAnsi="Arial" w:cs="Arial"/>
              </w:rPr>
            </w:pPr>
          </w:p>
        </w:tc>
      </w:tr>
    </w:tbl>
    <w:p w14:paraId="40974423" w14:textId="77777777" w:rsidR="009B3C07" w:rsidRPr="00B74E3F" w:rsidRDefault="009B3C07" w:rsidP="009B3C07">
      <w:pPr>
        <w:pStyle w:val="TNote"/>
        <w:rPr>
          <w:rFonts w:ascii="Arial" w:hAnsi="Arial" w:cs="Arial"/>
        </w:rPr>
      </w:pPr>
      <w:r w:rsidRPr="00B74E3F">
        <w:rPr>
          <w:rFonts w:ascii="Arial" w:hAnsi="Arial"/>
        </w:rPr>
        <w:t>1</w:t>
      </w:r>
      <w:r w:rsidRPr="00B74E3F">
        <w:rPr>
          <w:rFonts w:ascii="Arial" w:hAnsi="Arial"/>
        </w:rPr>
        <w:tab/>
        <w:t>Capital expenditure on property, plant and equipment, and software.</w:t>
      </w:r>
    </w:p>
    <w:p w14:paraId="061DC331" w14:textId="77777777" w:rsidR="009B3C07" w:rsidRPr="00B74E3F" w:rsidRDefault="009B3C07" w:rsidP="009B3C07">
      <w:pPr>
        <w:pStyle w:val="TNote"/>
        <w:rPr>
          <w:rFonts w:ascii="Arial" w:hAnsi="Arial" w:cs="Arial"/>
        </w:rPr>
      </w:pPr>
      <w:r w:rsidRPr="00B74E3F">
        <w:rPr>
          <w:rFonts w:ascii="Arial" w:hAnsi="Arial"/>
        </w:rPr>
        <w:t>2</w:t>
      </w:r>
      <w:r w:rsidRPr="00B74E3F">
        <w:rPr>
          <w:rFonts w:ascii="Arial" w:hAnsi="Arial"/>
        </w:rPr>
        <w:tab/>
        <w:t>Excluding trainees.</w:t>
      </w:r>
    </w:p>
    <w:p w14:paraId="3ED5E56D" w14:textId="77777777" w:rsidR="009B3C07" w:rsidRPr="00B74E3F" w:rsidRDefault="009B3C07" w:rsidP="009B3C07">
      <w:pPr>
        <w:pStyle w:val="TNote"/>
        <w:rPr>
          <w:rFonts w:ascii="Arial" w:hAnsi="Arial" w:cs="Arial"/>
        </w:rPr>
      </w:pPr>
      <w:r w:rsidRPr="00B74E3F">
        <w:rPr>
          <w:rFonts w:ascii="Arial" w:hAnsi="Arial"/>
        </w:rPr>
        <w:t>3</w:t>
      </w:r>
      <w:r w:rsidRPr="00B74E3F">
        <w:rPr>
          <w:rFonts w:ascii="Arial" w:hAnsi="Arial"/>
        </w:rPr>
        <w:tab/>
        <w:t>Before changes in the scope of consolidation.</w:t>
      </w:r>
    </w:p>
    <w:p w14:paraId="2ECF4A09" w14:textId="77777777" w:rsidR="009B3C07" w:rsidRPr="00B74E3F" w:rsidRDefault="009B3C07" w:rsidP="009B3C07">
      <w:pPr>
        <w:pStyle w:val="TNote"/>
        <w:rPr>
          <w:rFonts w:ascii="Arial" w:hAnsi="Arial" w:cs="Arial"/>
        </w:rPr>
      </w:pPr>
      <w:r w:rsidRPr="00B74E3F">
        <w:rPr>
          <w:rFonts w:ascii="Arial" w:hAnsi="Arial"/>
        </w:rPr>
        <w:t>4</w:t>
      </w:r>
      <w:r w:rsidRPr="00B74E3F">
        <w:rPr>
          <w:rFonts w:ascii="Arial" w:hAnsi="Arial"/>
        </w:rPr>
        <w:tab/>
        <w:t xml:space="preserve">Before amortization of intangible assets from purchase price allocation (PPA), changes in the scope of consolidation, and special effects. </w:t>
      </w:r>
    </w:p>
    <w:p w14:paraId="2B73BCFD" w14:textId="56554A16" w:rsidR="003A595D" w:rsidRPr="00B74E3F" w:rsidRDefault="003A595D" w:rsidP="003A595D">
      <w:pPr>
        <w:pStyle w:val="04-Subhead"/>
        <w:rPr>
          <w:szCs w:val="22"/>
        </w:rPr>
      </w:pPr>
      <w:bookmarkStart w:id="9" w:name="_FLink_1T_XTTLHWnEIÖSHbhCOMG_1"/>
      <w:bookmarkEnd w:id="8"/>
      <w:bookmarkEnd w:id="9"/>
      <w:r w:rsidRPr="00B74E3F">
        <w:lastRenderedPageBreak/>
        <w:t>Sales and earnings development of business areas better than expected at the beginning of April</w:t>
      </w:r>
    </w:p>
    <w:p w14:paraId="64692D25" w14:textId="51F97090" w:rsidR="00A949DE" w:rsidRPr="00B74E3F" w:rsidRDefault="00A949DE" w:rsidP="00A949DE">
      <w:pPr>
        <w:pStyle w:val="03-Text"/>
        <w:rPr>
          <w:szCs w:val="22"/>
        </w:rPr>
      </w:pPr>
      <w:r w:rsidRPr="00B74E3F">
        <w:t xml:space="preserve">Sales in the </w:t>
      </w:r>
      <w:r w:rsidRPr="00B74E3F">
        <w:rPr>
          <w:b/>
          <w:bCs/>
          <w:szCs w:val="22"/>
        </w:rPr>
        <w:t>Automotive Technologies</w:t>
      </w:r>
      <w:r w:rsidRPr="00B74E3F">
        <w:t xml:space="preserve"> group sector were </w:t>
      </w:r>
      <w:r w:rsidRPr="00B74E3F">
        <w:rPr>
          <w:szCs w:val="22"/>
        </w:rPr>
        <w:t>€4.1</w:t>
      </w:r>
      <w:r w:rsidRPr="00B74E3F">
        <w:t xml:space="preserve"> billion (Q1 2019: </w:t>
      </w:r>
      <w:r w:rsidRPr="00B74E3F">
        <w:rPr>
          <w:szCs w:val="22"/>
        </w:rPr>
        <w:t>€4.7</w:t>
      </w:r>
      <w:r w:rsidRPr="00B74E3F">
        <w:t xml:space="preserve"> billion) and the adjusted EBIT margin was </w:t>
      </w:r>
      <w:r w:rsidRPr="00B74E3F">
        <w:rPr>
          <w:szCs w:val="22"/>
        </w:rPr>
        <w:t>1.8</w:t>
      </w:r>
      <w:r w:rsidRPr="00B74E3F">
        <w:t xml:space="preserve"> percent (Q1 2019: </w:t>
      </w:r>
      <w:r w:rsidRPr="00B74E3F">
        <w:rPr>
          <w:szCs w:val="22"/>
        </w:rPr>
        <w:t>6.0</w:t>
      </w:r>
      <w:r w:rsidRPr="00B74E3F">
        <w:t xml:space="preserve"> percent). Organic sales growth came to </w:t>
      </w:r>
      <w:r w:rsidR="00FC5B43">
        <w:br/>
      </w:r>
      <w:r w:rsidRPr="00B74E3F">
        <w:rPr>
          <w:szCs w:val="22"/>
        </w:rPr>
        <w:t>-11.5</w:t>
      </w:r>
      <w:r w:rsidRPr="00B74E3F">
        <w:t xml:space="preserve"> percent.</w:t>
      </w:r>
    </w:p>
    <w:p w14:paraId="405D0A9B" w14:textId="69602438" w:rsidR="00A949DE" w:rsidRPr="00B74E3F" w:rsidRDefault="00A949DE" w:rsidP="00A949DE">
      <w:pPr>
        <w:pStyle w:val="03-Text"/>
        <w:rPr>
          <w:szCs w:val="22"/>
        </w:rPr>
      </w:pPr>
      <w:r w:rsidRPr="00B74E3F">
        <w:t xml:space="preserve">The </w:t>
      </w:r>
      <w:r w:rsidRPr="00B74E3F">
        <w:rPr>
          <w:b/>
          <w:bCs/>
          <w:szCs w:val="22"/>
        </w:rPr>
        <w:t>Rubber Technologies</w:t>
      </w:r>
      <w:r w:rsidRPr="00B74E3F">
        <w:t xml:space="preserve"> group sector achieved sales of </w:t>
      </w:r>
      <w:r w:rsidRPr="00B74E3F">
        <w:rPr>
          <w:szCs w:val="22"/>
        </w:rPr>
        <w:t>€4.0</w:t>
      </w:r>
      <w:r w:rsidRPr="00B74E3F">
        <w:t xml:space="preserve"> billion (Q1 2019: </w:t>
      </w:r>
      <w:r w:rsidRPr="00B74E3F">
        <w:rPr>
          <w:szCs w:val="22"/>
        </w:rPr>
        <w:t>€4.4</w:t>
      </w:r>
      <w:r w:rsidRPr="00B74E3F">
        <w:t xml:space="preserve"> billion) and an adjusted EBIT margin of </w:t>
      </w:r>
      <w:r w:rsidRPr="00B74E3F">
        <w:rPr>
          <w:szCs w:val="22"/>
        </w:rPr>
        <w:t>9.8</w:t>
      </w:r>
      <w:r w:rsidRPr="00B74E3F">
        <w:t xml:space="preserve"> percent (Q1 2019: </w:t>
      </w:r>
      <w:r w:rsidRPr="00B74E3F">
        <w:rPr>
          <w:szCs w:val="22"/>
        </w:rPr>
        <w:t>12.2</w:t>
      </w:r>
      <w:r w:rsidRPr="00B74E3F">
        <w:t xml:space="preserve"> percent). Organic sales growth was </w:t>
      </w:r>
      <w:r w:rsidR="00FC5B43">
        <w:br/>
      </w:r>
      <w:r w:rsidRPr="00B74E3F">
        <w:rPr>
          <w:szCs w:val="22"/>
        </w:rPr>
        <w:t>-10.8</w:t>
      </w:r>
      <w:r w:rsidR="008F08E6">
        <w:rPr>
          <w:szCs w:val="22"/>
        </w:rPr>
        <w:t> </w:t>
      </w:r>
      <w:r w:rsidRPr="00B74E3F">
        <w:t>percent.</w:t>
      </w:r>
    </w:p>
    <w:p w14:paraId="7B006525" w14:textId="51DBA9B6" w:rsidR="009D7033" w:rsidRPr="00B74E3F" w:rsidRDefault="00A949DE" w:rsidP="00BB29F3">
      <w:pPr>
        <w:pStyle w:val="03-Text"/>
      </w:pPr>
      <w:r w:rsidRPr="00B74E3F">
        <w:t xml:space="preserve">In Continental’s powertrain business, the </w:t>
      </w:r>
      <w:r w:rsidRPr="00B74E3F">
        <w:rPr>
          <w:b/>
          <w:bCs/>
          <w:szCs w:val="22"/>
        </w:rPr>
        <w:t>Powertrain Technologies</w:t>
      </w:r>
      <w:r w:rsidRPr="00B74E3F">
        <w:t xml:space="preserve"> group sector, sales were </w:t>
      </w:r>
      <w:r w:rsidRPr="00B74E3F">
        <w:rPr>
          <w:szCs w:val="22"/>
        </w:rPr>
        <w:t>€1.8</w:t>
      </w:r>
      <w:r w:rsidR="008F08E6">
        <w:rPr>
          <w:szCs w:val="22"/>
        </w:rPr>
        <w:t> </w:t>
      </w:r>
      <w:r w:rsidRPr="00B74E3F">
        <w:t xml:space="preserve">billion (Q1 2019: </w:t>
      </w:r>
      <w:r w:rsidRPr="00B74E3F">
        <w:rPr>
          <w:szCs w:val="22"/>
        </w:rPr>
        <w:t>€2.0</w:t>
      </w:r>
      <w:r w:rsidRPr="00B74E3F">
        <w:t xml:space="preserve"> billion) and the adjusted EBIT margin was </w:t>
      </w:r>
      <w:r w:rsidRPr="00B74E3F">
        <w:rPr>
          <w:szCs w:val="22"/>
        </w:rPr>
        <w:t>0.7</w:t>
      </w:r>
      <w:r w:rsidRPr="00B74E3F">
        <w:t xml:space="preserve"> percent (Q1 2019: </w:t>
      </w:r>
      <w:r w:rsidRPr="00B74E3F">
        <w:rPr>
          <w:szCs w:val="22"/>
        </w:rPr>
        <w:t>3.9</w:t>
      </w:r>
      <w:r w:rsidRPr="00B74E3F">
        <w:t> percent). Organic sales growth came to -</w:t>
      </w:r>
      <w:r w:rsidRPr="00B74E3F">
        <w:rPr>
          <w:szCs w:val="22"/>
        </w:rPr>
        <w:t>9.1</w:t>
      </w:r>
      <w:r w:rsidRPr="00B74E3F">
        <w:t xml:space="preserve"> percent.</w:t>
      </w:r>
    </w:p>
    <w:p w14:paraId="07F4254D" w14:textId="32BA9F74" w:rsidR="00816BB1" w:rsidRPr="003E669D" w:rsidRDefault="00C5792F" w:rsidP="003E669D">
      <w:pPr>
        <w:pStyle w:val="05-Boilerplate"/>
        <w:rPr>
          <w:rFonts w:ascii="Calibri" w:hAnsi="Calibri"/>
        </w:rPr>
      </w:pPr>
      <w:r w:rsidRPr="00B74E3F">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w:t>
      </w:r>
      <w:r w:rsidR="008F08E6">
        <w:t> </w:t>
      </w:r>
      <w:r w:rsidRPr="00B74E3F">
        <w:t>billion and currently employs about 240,000 people in 59 countries and markets.</w:t>
      </w:r>
    </w:p>
    <w:p w14:paraId="2378D823" w14:textId="450FBDE0" w:rsidR="00B54BA4" w:rsidRPr="00B74E3F" w:rsidRDefault="005F042A" w:rsidP="00B54BA4">
      <w:pPr>
        <w:pStyle w:val="08-SubheadContact"/>
        <w:ind w:left="708" w:hanging="708"/>
        <w:rPr>
          <w:szCs w:val="22"/>
        </w:rPr>
      </w:pPr>
      <w:r w:rsidRPr="00B74E3F">
        <w:t xml:space="preserve">Press contact </w:t>
      </w:r>
    </w:p>
    <w:p w14:paraId="6E0874D4" w14:textId="77777777" w:rsidR="009C40BB" w:rsidRPr="00B74E3F" w:rsidRDefault="0061395C" w:rsidP="009C40BB">
      <w:pPr>
        <w:pStyle w:val="11-Contact-Line"/>
        <w:rPr>
          <w:szCs w:val="22"/>
        </w:rPr>
      </w:pPr>
      <w:r>
        <w:pict w14:anchorId="2A5D9E21">
          <v:rect id="_x0000_i1025" alt="" style="width:481.85pt;height:1pt;mso-width-percent:0;mso-height-percent:0;mso-width-percent:0;mso-height-percent:0" o:hralign="center" o:hrstd="t" o:hrnoshade="t" o:hr="t" fillcolor="black" stroked="f"/>
        </w:pict>
      </w:r>
    </w:p>
    <w:p w14:paraId="6CDD1E30" w14:textId="77777777" w:rsidR="00C5792F" w:rsidRPr="00B74E3F" w:rsidRDefault="00C5792F" w:rsidP="00C5792F">
      <w:pPr>
        <w:pStyle w:val="06-Contact"/>
        <w:rPr>
          <w:rFonts w:ascii="Calibri" w:hAnsi="Calibri"/>
        </w:rPr>
      </w:pPr>
      <w:bookmarkStart w:id="10" w:name="_Hlk2676672"/>
      <w:r w:rsidRPr="00B74E3F">
        <w:t>Henry Schniewind</w:t>
      </w:r>
    </w:p>
    <w:p w14:paraId="79DBF638" w14:textId="77777777" w:rsidR="00C5792F" w:rsidRPr="00B74E3F" w:rsidRDefault="00C5792F" w:rsidP="00C5792F">
      <w:pPr>
        <w:pStyle w:val="06-Contact"/>
      </w:pPr>
      <w:r w:rsidRPr="00B74E3F">
        <w:t>Spokesman, Business and Finance</w:t>
      </w:r>
    </w:p>
    <w:p w14:paraId="0681BA02" w14:textId="77777777" w:rsidR="00C5792F" w:rsidRPr="00596C22" w:rsidRDefault="00C5792F" w:rsidP="00C5792F">
      <w:pPr>
        <w:pStyle w:val="06-Contact"/>
      </w:pPr>
      <w:r w:rsidRPr="00596C22">
        <w:t>Continental</w:t>
      </w:r>
    </w:p>
    <w:p w14:paraId="39C9955A" w14:textId="77777777" w:rsidR="00C5792F" w:rsidRPr="00596C22" w:rsidRDefault="00C5792F" w:rsidP="00C5792F">
      <w:pPr>
        <w:pStyle w:val="06-Contact"/>
      </w:pPr>
      <w:r w:rsidRPr="00596C22">
        <w:t>Phone: +49 511 938-1278</w:t>
      </w:r>
    </w:p>
    <w:p w14:paraId="05736122" w14:textId="77777777" w:rsidR="00C5792F" w:rsidRPr="00596C22" w:rsidRDefault="00C5792F" w:rsidP="00C5792F">
      <w:pPr>
        <w:pStyle w:val="06-Contact"/>
      </w:pPr>
      <w:r w:rsidRPr="00596C22">
        <w:t>Mobile: +49 151 68864262</w:t>
      </w:r>
    </w:p>
    <w:p w14:paraId="36621B1C" w14:textId="77777777" w:rsidR="00C5792F" w:rsidRPr="00596C22" w:rsidRDefault="00C5792F" w:rsidP="00C5792F">
      <w:pPr>
        <w:pStyle w:val="06-Contact"/>
      </w:pPr>
      <w:r w:rsidRPr="00596C22">
        <w:t xml:space="preserve">E-mail: </w:t>
      </w:r>
      <w:hyperlink r:id="rId7" w:history="1">
        <w:r w:rsidRPr="00596C22">
          <w:rPr>
            <w:rStyle w:val="Hyperlink"/>
            <w:color w:val="auto"/>
            <w:u w:val="none"/>
          </w:rPr>
          <w:t>henry.schniewind@conti.de</w:t>
        </w:r>
      </w:hyperlink>
    </w:p>
    <w:p w14:paraId="15B4288D" w14:textId="77777777" w:rsidR="008E5C7F" w:rsidRPr="00596C22" w:rsidRDefault="008E5C7F" w:rsidP="00C5792F">
      <w:pPr>
        <w:pStyle w:val="06-Contact"/>
        <w:rPr>
          <w:szCs w:val="22"/>
        </w:rPr>
      </w:pPr>
    </w:p>
    <w:p w14:paraId="5DE4E9D6" w14:textId="77777777" w:rsidR="00C5792F" w:rsidRPr="00596C22" w:rsidRDefault="00C5792F" w:rsidP="00C5792F">
      <w:pPr>
        <w:pStyle w:val="06-Contact"/>
        <w:rPr>
          <w:rFonts w:ascii="Calibri" w:hAnsi="Calibri"/>
        </w:rPr>
      </w:pPr>
      <w:r w:rsidRPr="00596C22">
        <w:t>Vincent Charles</w:t>
      </w:r>
    </w:p>
    <w:p w14:paraId="31EBAC15" w14:textId="77777777" w:rsidR="00C5792F" w:rsidRPr="00596C22" w:rsidRDefault="00C5792F" w:rsidP="00C5792F">
      <w:pPr>
        <w:pStyle w:val="06-Contact"/>
      </w:pPr>
      <w:r w:rsidRPr="00596C22">
        <w:t>Head of Media Relations</w:t>
      </w:r>
    </w:p>
    <w:p w14:paraId="39356657" w14:textId="77777777" w:rsidR="00C5792F" w:rsidRPr="00596C22" w:rsidRDefault="00C5792F" w:rsidP="00C5792F">
      <w:pPr>
        <w:pStyle w:val="06-Contact"/>
      </w:pPr>
      <w:r w:rsidRPr="00596C22">
        <w:t>Continental</w:t>
      </w:r>
    </w:p>
    <w:p w14:paraId="50A3E0BC" w14:textId="77777777" w:rsidR="00C5792F" w:rsidRPr="00596C22" w:rsidRDefault="00C5792F" w:rsidP="00C5792F">
      <w:pPr>
        <w:pStyle w:val="06-Contact"/>
      </w:pPr>
      <w:r w:rsidRPr="00596C22">
        <w:t>Phone: +49 511 938-1364</w:t>
      </w:r>
    </w:p>
    <w:p w14:paraId="39F170ED" w14:textId="77777777" w:rsidR="00C5792F" w:rsidRPr="00596C22" w:rsidRDefault="00C5792F" w:rsidP="00C5792F">
      <w:pPr>
        <w:pStyle w:val="06-Contact"/>
      </w:pPr>
      <w:r w:rsidRPr="00596C22">
        <w:t xml:space="preserve">Mobile: +49 173 3145096 </w:t>
      </w:r>
    </w:p>
    <w:p w14:paraId="0DDA9D03" w14:textId="5C1B6BD3" w:rsidR="008E5C7F" w:rsidRPr="00596C22" w:rsidRDefault="00C5792F" w:rsidP="00B54BA4">
      <w:pPr>
        <w:pStyle w:val="06-Contact"/>
      </w:pPr>
      <w:r w:rsidRPr="00596C22">
        <w:t xml:space="preserve">E-mail: </w:t>
      </w:r>
      <w:hyperlink r:id="rId8" w:history="1">
        <w:r w:rsidRPr="00596C22">
          <w:rPr>
            <w:rStyle w:val="Hyperlink"/>
            <w:color w:val="auto"/>
            <w:u w:val="none"/>
          </w:rPr>
          <w:t>vincent.charles@conti.de</w:t>
        </w:r>
      </w:hyperlink>
    </w:p>
    <w:bookmarkEnd w:id="10"/>
    <w:p w14:paraId="3DE4CCF7" w14:textId="77777777" w:rsidR="009C40BB" w:rsidRPr="00596C22" w:rsidRDefault="0061395C" w:rsidP="009C40BB">
      <w:pPr>
        <w:pStyle w:val="11-Contact-Line"/>
        <w:rPr>
          <w:szCs w:val="22"/>
        </w:rPr>
        <w:sectPr w:rsidR="009C40BB" w:rsidRPr="00596C22" w:rsidSect="0020215C">
          <w:headerReference w:type="default" r:id="rId9"/>
          <w:footerReference w:type="default" r:id="rId10"/>
          <w:headerReference w:type="first" r:id="rId11"/>
          <w:footerReference w:type="first" r:id="rId12"/>
          <w:type w:val="continuous"/>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2CB830B6" w:rsidR="009C40BB" w:rsidRPr="00596C22" w:rsidRDefault="00207863" w:rsidP="00575716">
      <w:pPr>
        <w:pStyle w:val="06-Contact"/>
        <w:rPr>
          <w:szCs w:val="22"/>
        </w:rPr>
      </w:pPr>
      <w:r w:rsidRPr="00596C22">
        <w:rPr>
          <w:b/>
          <w:szCs w:val="22"/>
        </w:rPr>
        <w:t>Press portal:</w:t>
      </w:r>
      <w:r w:rsidRPr="00596C22">
        <w:rPr>
          <w:b/>
          <w:szCs w:val="22"/>
        </w:rPr>
        <w:tab/>
      </w:r>
      <w:hyperlink r:id="rId13" w:history="1">
        <w:r w:rsidRPr="00596C22">
          <w:rPr>
            <w:rStyle w:val="Hyperlink"/>
            <w:color w:val="auto"/>
            <w:u w:val="none"/>
          </w:rPr>
          <w:t>www.continental-press.com</w:t>
        </w:r>
      </w:hyperlink>
    </w:p>
    <w:p w14:paraId="7E87F56F" w14:textId="31318B89" w:rsidR="00840836" w:rsidRPr="00596C22" w:rsidRDefault="001B5139" w:rsidP="00840836">
      <w:pPr>
        <w:pStyle w:val="06-Contact"/>
        <w:rPr>
          <w:szCs w:val="22"/>
        </w:rPr>
      </w:pPr>
      <w:r w:rsidRPr="00596C22">
        <w:rPr>
          <w:b/>
          <w:bCs/>
          <w:szCs w:val="22"/>
        </w:rPr>
        <w:t>Media center:</w:t>
      </w:r>
      <w:r w:rsidRPr="00596C22">
        <w:rPr>
          <w:b/>
          <w:bCs/>
          <w:szCs w:val="22"/>
        </w:rPr>
        <w:tab/>
      </w:r>
      <w:hyperlink r:id="rId14" w:history="1">
        <w:r w:rsidRPr="00596C22">
          <w:rPr>
            <w:rStyle w:val="Hyperlink"/>
            <w:color w:val="auto"/>
            <w:u w:val="none"/>
          </w:rPr>
          <w:t>continental.com/media-center</w:t>
        </w:r>
      </w:hyperlink>
    </w:p>
    <w:p w14:paraId="64983EB2" w14:textId="5D29DDBE" w:rsidR="002C62AC" w:rsidRPr="00596C22" w:rsidRDefault="002C62AC" w:rsidP="00840836">
      <w:pPr>
        <w:pStyle w:val="06-Contact"/>
        <w:rPr>
          <w:b/>
          <w:szCs w:val="22"/>
        </w:rPr>
      </w:pPr>
      <w:r w:rsidRPr="00596C22">
        <w:rPr>
          <w:b/>
        </w:rPr>
        <w:t>Twitter:</w:t>
      </w:r>
      <w:r w:rsidRPr="00596C22">
        <w:rPr>
          <w:b/>
        </w:rPr>
        <w:tab/>
      </w:r>
      <w:hyperlink r:id="rId15" w:history="1">
        <w:r w:rsidRPr="00596C22">
          <w:rPr>
            <w:rStyle w:val="Hyperlink"/>
            <w:color w:val="auto"/>
            <w:u w:val="none"/>
          </w:rPr>
          <w:t>@</w:t>
        </w:r>
        <w:proofErr w:type="spellStart"/>
        <w:r w:rsidRPr="00596C22">
          <w:rPr>
            <w:rStyle w:val="Hyperlink"/>
            <w:color w:val="auto"/>
            <w:u w:val="none"/>
          </w:rPr>
          <w:t>Conti_Press</w:t>
        </w:r>
        <w:proofErr w:type="spellEnd"/>
      </w:hyperlink>
    </w:p>
    <w:sectPr w:rsidR="002C62AC" w:rsidRPr="00596C22"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CEE1" w14:textId="77777777" w:rsidR="0061395C" w:rsidRDefault="0061395C">
      <w:pPr>
        <w:spacing w:after="0" w:line="240" w:lineRule="auto"/>
      </w:pPr>
      <w:r>
        <w:separator/>
      </w:r>
    </w:p>
  </w:endnote>
  <w:endnote w:type="continuationSeparator" w:id="0">
    <w:p w14:paraId="241892BC" w14:textId="77777777" w:rsidR="0061395C" w:rsidRDefault="0061395C">
      <w:pPr>
        <w:spacing w:after="0" w:line="240" w:lineRule="auto"/>
      </w:pPr>
      <w:r>
        <w:continuationSeparator/>
      </w:r>
    </w:p>
  </w:endnote>
  <w:endnote w:type="continuationNotice" w:id="1">
    <w:p w14:paraId="7368C024" w14:textId="77777777" w:rsidR="0061395C" w:rsidRDefault="00613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tinental Stag Sans Light">
    <w:altName w:val="Calibri"/>
    <w:panose1 w:val="00000000000000000000"/>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ntinental Stag Sans Med">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7777777" w:rsidR="00D73C2C" w:rsidRDefault="00D73C2C" w:rsidP="00E40548">
    <w:pPr>
      <w:pStyle w:val="09-Footer"/>
      <w:shd w:val="solid" w:color="FFFFFF" w:fill="auto"/>
      <w:rPr>
        <w:noProof/>
      </w:rPr>
    </w:pPr>
    <w:r>
      <w:rPr>
        <w:noProof/>
      </w:rPr>
      <mc:AlternateContent>
        <mc:Choice Requires="wps">
          <w:drawing>
            <wp:anchor distT="45720" distB="45720" distL="114300" distR="114300" simplePos="0" relativeHeight="25166540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D73C2C" w:rsidRPr="0006310A" w:rsidRDefault="00D73C2C" w:rsidP="00E40548">
                          <w:pPr>
                            <w:pStyle w:val="Fuzeile"/>
                            <w:tabs>
                              <w:tab w:val="right" w:pos="8280"/>
                            </w:tabs>
                            <w:ind w:right="71"/>
                            <w:jc w:val="right"/>
                            <w:rPr>
                              <w:rFonts w:cs="Arial"/>
                              <w:sz w:val="14"/>
                            </w:rPr>
                          </w:pPr>
                          <w:r w:rsidRPr="0006310A">
                            <w:rPr>
                              <w:sz w:val="18"/>
                              <w:szCs w:val="18"/>
                            </w:rPr>
                            <w:fldChar w:fldCharType="begin"/>
                          </w:r>
                          <w:r w:rsidRPr="0006310A">
                            <w:rPr>
                              <w:sz w:val="18"/>
                              <w:szCs w:val="18"/>
                            </w:rPr>
                            <w:instrText xml:space="preserve"> PAGE </w:instrText>
                          </w:r>
                          <w:r w:rsidRPr="0006310A">
                            <w:rPr>
                              <w:sz w:val="18"/>
                              <w:szCs w:val="18"/>
                            </w:rPr>
                            <w:fldChar w:fldCharType="separate"/>
                          </w:r>
                          <w:r w:rsidRPr="0006310A">
                            <w:rPr>
                              <w:sz w:val="18"/>
                              <w:szCs w:val="18"/>
                            </w:rPr>
                            <w:t>1</w:t>
                          </w:r>
                          <w:r w:rsidRPr="0006310A">
                            <w:rPr>
                              <w:sz w:val="18"/>
                              <w:szCs w:val="18"/>
                            </w:rPr>
                            <w:fldChar w:fldCharType="end"/>
                          </w:r>
                          <w:r>
                            <w:rPr>
                              <w:sz w:val="18"/>
                              <w:szCs w:val="18"/>
                            </w:rPr>
                            <w:t>/</w:t>
                          </w:r>
                          <w:r w:rsidRPr="0006310A">
                            <w:rPr>
                              <w:sz w:val="18"/>
                              <w:szCs w:val="18"/>
                            </w:rPr>
                            <w:fldChar w:fldCharType="begin"/>
                          </w:r>
                          <w:r w:rsidRPr="0006310A">
                            <w:rPr>
                              <w:sz w:val="18"/>
                              <w:szCs w:val="18"/>
                            </w:rPr>
                            <w:instrText xml:space="preserve"> NUMPAGES </w:instrText>
                          </w:r>
                          <w:r w:rsidRPr="0006310A">
                            <w:rPr>
                              <w:sz w:val="18"/>
                              <w:szCs w:val="18"/>
                            </w:rPr>
                            <w:fldChar w:fldCharType="separate"/>
                          </w:r>
                          <w:r w:rsidRPr="0006310A">
                            <w:rPr>
                              <w:sz w:val="18"/>
                              <w:szCs w:val="18"/>
                            </w:rPr>
                            <w:t>2</w:t>
                          </w:r>
                          <w:r w:rsidRPr="0006310A">
                            <w:rPr>
                              <w:sz w:val="18"/>
                              <w:szCs w:val="18"/>
                            </w:rPr>
                            <w:fldChar w:fldCharType="end"/>
                          </w:r>
                        </w:p>
                        <w:p w14:paraId="1BCE2E9B" w14:textId="77777777" w:rsidR="00D73C2C" w:rsidRPr="0006310A" w:rsidRDefault="00D73C2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D73C2C" w:rsidRPr="0006310A" w:rsidRDefault="00D73C2C" w:rsidP="00E40548">
                    <w:pPr>
                      <w:pStyle w:val="Fuzeile"/>
                      <w:tabs>
                        <w:tab w:val="right" w:pos="8280"/>
                      </w:tabs>
                      <w:ind w:right="71"/>
                      <w:jc w:val="right"/>
                      <w:rPr>
                        <w:rFonts w:cs="Arial"/>
                        <w:sz w:val="14"/>
                      </w:rPr>
                    </w:pPr>
                    <w:r w:rsidRPr="0006310A">
                      <w:rPr>
                        <w:sz w:val="18"/>
                        <w:szCs w:val="18"/>
                      </w:rPr>
                      <w:fldChar w:fldCharType="begin"/>
                    </w:r>
                    <w:r w:rsidRPr="0006310A">
                      <w:rPr>
                        <w:sz w:val="18"/>
                        <w:szCs w:val="18"/>
                      </w:rPr>
                      <w:instrText xml:space="preserve"> PAGE </w:instrText>
                    </w:r>
                    <w:r w:rsidRPr="0006310A">
                      <w:rPr>
                        <w:sz w:val="18"/>
                        <w:szCs w:val="18"/>
                      </w:rPr>
                      <w:fldChar w:fldCharType="separate"/>
                    </w:r>
                    <w:r w:rsidRPr="0006310A">
                      <w:rPr>
                        <w:sz w:val="18"/>
                        <w:szCs w:val="18"/>
                      </w:rPr>
                      <w:t>1</w:t>
                    </w:r>
                    <w:r w:rsidRPr="0006310A">
                      <w:rPr>
                        <w:sz w:val="18"/>
                        <w:szCs w:val="18"/>
                      </w:rPr>
                      <w:fldChar w:fldCharType="end"/>
                    </w:r>
                    <w:r>
                      <w:rPr>
                        <w:sz w:val="18"/>
                        <w:szCs w:val="18"/>
                      </w:rPr>
                      <w:t>/</w:t>
                    </w:r>
                    <w:r w:rsidRPr="0006310A">
                      <w:rPr>
                        <w:sz w:val="18"/>
                        <w:szCs w:val="18"/>
                      </w:rPr>
                      <w:fldChar w:fldCharType="begin"/>
                    </w:r>
                    <w:r w:rsidRPr="0006310A">
                      <w:rPr>
                        <w:sz w:val="18"/>
                        <w:szCs w:val="18"/>
                      </w:rPr>
                      <w:instrText xml:space="preserve"> NUMPAGES </w:instrText>
                    </w:r>
                    <w:r w:rsidRPr="0006310A">
                      <w:rPr>
                        <w:sz w:val="18"/>
                        <w:szCs w:val="18"/>
                      </w:rPr>
                      <w:fldChar w:fldCharType="separate"/>
                    </w:r>
                    <w:r w:rsidRPr="0006310A">
                      <w:rPr>
                        <w:sz w:val="18"/>
                        <w:szCs w:val="18"/>
                      </w:rPr>
                      <w:t>2</w:t>
                    </w:r>
                    <w:r w:rsidRPr="0006310A">
                      <w:rPr>
                        <w:sz w:val="18"/>
                        <w:szCs w:val="18"/>
                      </w:rPr>
                      <w:fldChar w:fldCharType="end"/>
                    </w:r>
                  </w:p>
                  <w:p w14:paraId="1BCE2E9B" w14:textId="77777777" w:rsidR="00D73C2C" w:rsidRPr="0006310A" w:rsidRDefault="00D73C2C" w:rsidP="00E40548">
                    <w:pPr>
                      <w:pStyle w:val="09-Footer"/>
                      <w:shd w:val="solid" w:color="FFFFFF" w:fill="auto"/>
                      <w:jc w:val="right"/>
                      <w:rPr>
                        <w:noProof/>
                        <w:sz w:val="10"/>
                      </w:rPr>
                    </w:pPr>
                  </w:p>
                </w:txbxContent>
              </v:textbox>
              <w10:wrap type="square" anchorx="margin"/>
            </v:shape>
          </w:pict>
        </mc:Fallback>
      </mc:AlternateContent>
    </w:r>
    <w:r>
      <w:t>Your contact:</w:t>
    </w:r>
  </w:p>
  <w:p w14:paraId="4FDEA2E2" w14:textId="5329FA18" w:rsidR="00D73C2C" w:rsidRPr="00E40548" w:rsidRDefault="00D73C2C" w:rsidP="00E40548">
    <w:pPr>
      <w:pStyle w:val="09-Footer"/>
      <w:shd w:val="solid" w:color="FFFFFF" w:fill="auto"/>
      <w:rPr>
        <w:noProof/>
      </w:rPr>
    </w:pPr>
    <w:r>
      <w:t xml:space="preserve">Henry Schniewind, phone: </w:t>
    </w:r>
    <w:r>
      <w:rPr>
        <w:noProof/>
      </w:rPr>
      <mc:AlternateContent>
        <mc:Choice Requires="wps">
          <w:drawing>
            <wp:anchor distT="4294967292" distB="4294967292" distL="114300" distR="114300" simplePos="0" relativeHeight="251663360"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E843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r>
      <w:t>+49 511 938-1278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D73C2C" w:rsidRDefault="00D73C2C"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4710764" w:rsidR="00D73C2C" w:rsidRPr="00213B9A" w:rsidRDefault="00D73C2C"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A20B0"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sidR="007A20B0">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A20B0" w:rsidRPr="00213B9A">
                            <w:rPr>
                              <w:rFonts w:cs="Arial"/>
                              <w:noProof/>
                              <w:sz w:val="18"/>
                            </w:rPr>
                            <w:t>.../</w:t>
                          </w:r>
                          <w:r w:rsidR="007A20B0">
                            <w:rPr>
                              <w:rFonts w:cs="Arial"/>
                              <w:noProof/>
                              <w:sz w:val="18"/>
                            </w:rPr>
                            <w:t>3</w:t>
                          </w:r>
                          <w:r w:rsidRPr="00213B9A">
                            <w:rPr>
                              <w:rFonts w:cs="Arial"/>
                              <w:sz w:val="18"/>
                            </w:rPr>
                            <w:fldChar w:fldCharType="end"/>
                          </w:r>
                        </w:p>
                        <w:p w14:paraId="5DEA47DA" w14:textId="77777777" w:rsidR="00D73C2C" w:rsidRPr="00213B9A" w:rsidRDefault="00D73C2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44710764" w:rsidR="00D73C2C" w:rsidRPr="00213B9A" w:rsidRDefault="00D73C2C"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A20B0"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A20B0">
                      <w:rPr>
                        <w:rFonts w:cs="Arial"/>
                        <w:noProof/>
                        <w:sz w:val="18"/>
                      </w:rPr>
                      <w:instrText>8</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sidR="007A20B0">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A20B0" w:rsidRPr="00213B9A">
                      <w:rPr>
                        <w:rFonts w:cs="Arial"/>
                        <w:noProof/>
                        <w:sz w:val="18"/>
                      </w:rPr>
                      <w:t>.../</w:t>
                    </w:r>
                    <w:r w:rsidR="007A20B0">
                      <w:rPr>
                        <w:rFonts w:cs="Arial"/>
                        <w:noProof/>
                        <w:sz w:val="18"/>
                      </w:rPr>
                      <w:t>3</w:t>
                    </w:r>
                    <w:r w:rsidRPr="00213B9A">
                      <w:rPr>
                        <w:rFonts w:cs="Arial"/>
                        <w:sz w:val="18"/>
                      </w:rPr>
                      <w:fldChar w:fldCharType="end"/>
                    </w:r>
                  </w:p>
                  <w:p w14:paraId="5DEA47DA" w14:textId="77777777" w:rsidR="00D73C2C" w:rsidRPr="00213B9A" w:rsidRDefault="00D73C2C"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D73C2C" w:rsidRDefault="00D73C2C"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55168"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0146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4CEE" w14:textId="77777777" w:rsidR="0061395C" w:rsidRDefault="0061395C">
      <w:pPr>
        <w:spacing w:after="0" w:line="240" w:lineRule="auto"/>
      </w:pPr>
      <w:r>
        <w:separator/>
      </w:r>
    </w:p>
  </w:footnote>
  <w:footnote w:type="continuationSeparator" w:id="0">
    <w:p w14:paraId="37A5899D" w14:textId="77777777" w:rsidR="0061395C" w:rsidRDefault="0061395C">
      <w:pPr>
        <w:spacing w:after="0" w:line="240" w:lineRule="auto"/>
      </w:pPr>
      <w:r>
        <w:continuationSeparator/>
      </w:r>
    </w:p>
  </w:footnote>
  <w:footnote w:type="continuationNotice" w:id="1">
    <w:p w14:paraId="796CEEF2" w14:textId="77777777" w:rsidR="0061395C" w:rsidRDefault="006139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F6EE6AF" w:rsidR="00D73C2C" w:rsidRPr="00216088" w:rsidRDefault="00D73C2C" w:rsidP="00E40548">
    <w:pPr>
      <w:pStyle w:val="Kopfzeile"/>
    </w:pPr>
    <w:r>
      <w:t xml:space="preserve"> </w:t>
    </w:r>
    <w:r>
      <w:rPr>
        <w:noProof/>
      </w:rPr>
      <mc:AlternateContent>
        <mc:Choice Requires="wps">
          <w:drawing>
            <wp:anchor distT="0" distB="0" distL="114300" distR="114300" simplePos="0" relativeHeight="25165312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D73C2C" w:rsidRDefault="00D73C2C" w:rsidP="004C6C5D">
                          <w:pPr>
                            <w:pStyle w:val="12-Title"/>
                            <w:rPr>
                              <w:sz w:val="22"/>
                              <w:szCs w:val="22"/>
                            </w:rPr>
                          </w:pPr>
                        </w:p>
                        <w:p w14:paraId="2F38E479" w14:textId="77777777" w:rsidR="00D73C2C" w:rsidRPr="00213B9A" w:rsidRDefault="00D73C2C" w:rsidP="004C6C5D">
                          <w:pPr>
                            <w:pStyle w:val="12-Title"/>
                          </w:pPr>
                          <w:r>
                            <w:t>Press Release</w:t>
                          </w:r>
                        </w:p>
                        <w:p w14:paraId="34A1C695" w14:textId="77777777" w:rsidR="00D73C2C" w:rsidRDefault="00D73C2C"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7" type="#_x0000_t202" style="position:absolute;margin-left:176.85pt;margin-top:31.1pt;width:228.05pt;height:33.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D73C2C" w:rsidRDefault="00D73C2C" w:rsidP="004C6C5D">
                    <w:pPr>
                      <w:pStyle w:val="12-Title"/>
                      <w:rPr>
                        <w:sz w:val="22"/>
                        <w:szCs w:val="22"/>
                      </w:rPr>
                    </w:pPr>
                  </w:p>
                  <w:p w14:paraId="2F38E479" w14:textId="77777777" w:rsidR="00D73C2C" w:rsidRPr="00213B9A" w:rsidRDefault="00D73C2C" w:rsidP="004C6C5D">
                    <w:pPr>
                      <w:pStyle w:val="12-Title"/>
                    </w:pPr>
                    <w:r>
                      <w:t>Press Release</w:t>
                    </w:r>
                  </w:p>
                  <w:p w14:paraId="34A1C695" w14:textId="77777777" w:rsidR="00D73C2C" w:rsidRDefault="00D73C2C" w:rsidP="004C6C5D">
                    <w:pPr>
                      <w:pStyle w:val="12-Title"/>
                    </w:pPr>
                    <w:r>
                      <w:br/>
                    </w:r>
                  </w:p>
                </w:txbxContent>
              </v:textbox>
              <w10:wrap anchorx="margin" anchory="page"/>
            </v:shape>
          </w:pict>
        </mc:Fallback>
      </mc:AlternateContent>
    </w:r>
    <w:r>
      <w:rPr>
        <w:noProof/>
      </w:rPr>
      <w:drawing>
        <wp:anchor distT="0" distB="0" distL="114300" distR="114300" simplePos="0" relativeHeight="25165107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EE003B6" w:rsidR="00D73C2C" w:rsidRDefault="00D73C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D73C2C" w:rsidRPr="00216088" w:rsidRDefault="00D73C2C" w:rsidP="00E40548">
    <w:pPr>
      <w:pStyle w:val="Kopfzeile"/>
    </w:pPr>
    <w:r>
      <w:rPr>
        <w:noProof/>
      </w:rPr>
      <mc:AlternateContent>
        <mc:Choice Requires="wps">
          <w:drawing>
            <wp:anchor distT="45720" distB="45720" distL="114300" distR="114300" simplePos="0" relativeHeight="251661312"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F7B61F2" w:rsidR="00D73C2C" w:rsidRPr="00213B9A" w:rsidRDefault="00D73C2C"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A20B0" w:rsidRPr="00213B9A">
                            <w:rPr>
                              <w:rFonts w:cs="Arial"/>
                              <w:noProof/>
                              <w:sz w:val="18"/>
                            </w:rPr>
                            <w:t xml:space="preserve">- </w:t>
                          </w:r>
                          <w:r w:rsidR="007A20B0">
                            <w:rPr>
                              <w:rFonts w:cs="Arial"/>
                              <w:noProof/>
                              <w:sz w:val="18"/>
                            </w:rPr>
                            <w:t>2</w:t>
                          </w:r>
                          <w:r w:rsidR="007A20B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6F7B61F2" w:rsidR="00D73C2C" w:rsidRPr="00213B9A" w:rsidRDefault="00D73C2C"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7A20B0" w:rsidRPr="00213B9A">
                      <w:rPr>
                        <w:rFonts w:cs="Arial"/>
                        <w:noProof/>
                        <w:sz w:val="18"/>
                      </w:rPr>
                      <w:t xml:space="preserve">- </w:t>
                    </w:r>
                    <w:r w:rsidR="007A20B0">
                      <w:rPr>
                        <w:rFonts w:cs="Arial"/>
                        <w:noProof/>
                        <w:sz w:val="18"/>
                      </w:rPr>
                      <w:t>2</w:t>
                    </w:r>
                    <w:r w:rsidR="007A20B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D73C2C" w:rsidRDefault="00D73C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910"/>
    <w:multiLevelType w:val="hybridMultilevel"/>
    <w:tmpl w:val="5350BC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cs="Times New Roman" w:hint="default"/>
        <w:b/>
        <w:i w:val="0"/>
        <w:color w:val="4472C4"/>
      </w:rPr>
    </w:lvl>
    <w:lvl w:ilvl="1" w:tplc="04070003">
      <w:start w:val="1"/>
      <w:numFmt w:val="bullet"/>
      <w:lvlText w:val="o"/>
      <w:lvlJc w:val="left"/>
      <w:pPr>
        <w:ind w:left="2660" w:hanging="360"/>
      </w:pPr>
      <w:rPr>
        <w:rFonts w:ascii="Courier New" w:hAnsi="Courier New" w:cs="Courier New" w:hint="default"/>
      </w:rPr>
    </w:lvl>
    <w:lvl w:ilvl="2" w:tplc="04070005">
      <w:start w:val="1"/>
      <w:numFmt w:val="bullet"/>
      <w:lvlText w:val=""/>
      <w:lvlJc w:val="left"/>
      <w:pPr>
        <w:ind w:left="3380" w:hanging="360"/>
      </w:pPr>
      <w:rPr>
        <w:rFonts w:ascii="Wingdings" w:hAnsi="Wingdings" w:hint="default"/>
      </w:rPr>
    </w:lvl>
    <w:lvl w:ilvl="3" w:tplc="04070001">
      <w:start w:val="1"/>
      <w:numFmt w:val="bullet"/>
      <w:lvlText w:val=""/>
      <w:lvlJc w:val="left"/>
      <w:pPr>
        <w:ind w:left="4100" w:hanging="360"/>
      </w:pPr>
      <w:rPr>
        <w:rFonts w:ascii="Symbol" w:hAnsi="Symbol" w:hint="default"/>
      </w:rPr>
    </w:lvl>
    <w:lvl w:ilvl="4" w:tplc="04070003">
      <w:start w:val="1"/>
      <w:numFmt w:val="bullet"/>
      <w:lvlText w:val="o"/>
      <w:lvlJc w:val="left"/>
      <w:pPr>
        <w:ind w:left="4820" w:hanging="360"/>
      </w:pPr>
      <w:rPr>
        <w:rFonts w:ascii="Courier New" w:hAnsi="Courier New" w:cs="Courier New" w:hint="default"/>
      </w:rPr>
    </w:lvl>
    <w:lvl w:ilvl="5" w:tplc="04070005">
      <w:start w:val="1"/>
      <w:numFmt w:val="bullet"/>
      <w:lvlText w:val=""/>
      <w:lvlJc w:val="left"/>
      <w:pPr>
        <w:ind w:left="5540" w:hanging="360"/>
      </w:pPr>
      <w:rPr>
        <w:rFonts w:ascii="Wingdings" w:hAnsi="Wingdings" w:hint="default"/>
      </w:rPr>
    </w:lvl>
    <w:lvl w:ilvl="6" w:tplc="04070001">
      <w:start w:val="1"/>
      <w:numFmt w:val="bullet"/>
      <w:lvlText w:val=""/>
      <w:lvlJc w:val="left"/>
      <w:pPr>
        <w:ind w:left="6260" w:hanging="360"/>
      </w:pPr>
      <w:rPr>
        <w:rFonts w:ascii="Symbol" w:hAnsi="Symbol" w:hint="default"/>
      </w:rPr>
    </w:lvl>
    <w:lvl w:ilvl="7" w:tplc="04070003">
      <w:start w:val="1"/>
      <w:numFmt w:val="bullet"/>
      <w:lvlText w:val="o"/>
      <w:lvlJc w:val="left"/>
      <w:pPr>
        <w:ind w:left="6980" w:hanging="360"/>
      </w:pPr>
      <w:rPr>
        <w:rFonts w:ascii="Courier New" w:hAnsi="Courier New" w:cs="Courier New" w:hint="default"/>
      </w:rPr>
    </w:lvl>
    <w:lvl w:ilvl="8" w:tplc="04070005">
      <w:start w:val="1"/>
      <w:numFmt w:val="bullet"/>
      <w:lvlText w:val=""/>
      <w:lvlJc w:val="left"/>
      <w:pPr>
        <w:ind w:left="770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D2A81"/>
    <w:multiLevelType w:val="hybridMultilevel"/>
    <w:tmpl w:val="EB8E32D4"/>
    <w:lvl w:ilvl="0" w:tplc="F510F8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5859B1"/>
    <w:multiLevelType w:val="hybridMultilevel"/>
    <w:tmpl w:val="CD049C8A"/>
    <w:lvl w:ilvl="0" w:tplc="C988E086">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30011F"/>
    <w:multiLevelType w:val="multilevel"/>
    <w:tmpl w:val="3D2AD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7"/>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10C1"/>
    <w:rsid w:val="00012006"/>
    <w:rsid w:val="000136E4"/>
    <w:rsid w:val="000143F2"/>
    <w:rsid w:val="000167A1"/>
    <w:rsid w:val="00017135"/>
    <w:rsid w:val="000219AF"/>
    <w:rsid w:val="00021E35"/>
    <w:rsid w:val="000261AF"/>
    <w:rsid w:val="0006273D"/>
    <w:rsid w:val="0006310A"/>
    <w:rsid w:val="000727BA"/>
    <w:rsid w:val="000908D0"/>
    <w:rsid w:val="00091AE8"/>
    <w:rsid w:val="00095547"/>
    <w:rsid w:val="00096181"/>
    <w:rsid w:val="000A1024"/>
    <w:rsid w:val="000A32C9"/>
    <w:rsid w:val="000B3D58"/>
    <w:rsid w:val="000C6E36"/>
    <w:rsid w:val="000D6828"/>
    <w:rsid w:val="000E5FCA"/>
    <w:rsid w:val="000F5E0E"/>
    <w:rsid w:val="00101052"/>
    <w:rsid w:val="00103D7B"/>
    <w:rsid w:val="00105D8C"/>
    <w:rsid w:val="00112873"/>
    <w:rsid w:val="00117D11"/>
    <w:rsid w:val="001273AE"/>
    <w:rsid w:val="00127D4A"/>
    <w:rsid w:val="00130DED"/>
    <w:rsid w:val="00131365"/>
    <w:rsid w:val="0013288F"/>
    <w:rsid w:val="0013388D"/>
    <w:rsid w:val="00140652"/>
    <w:rsid w:val="00151786"/>
    <w:rsid w:val="00153DB1"/>
    <w:rsid w:val="00162141"/>
    <w:rsid w:val="00163978"/>
    <w:rsid w:val="00170C7E"/>
    <w:rsid w:val="00181A28"/>
    <w:rsid w:val="0018402B"/>
    <w:rsid w:val="00186BAA"/>
    <w:rsid w:val="0019701F"/>
    <w:rsid w:val="001A1011"/>
    <w:rsid w:val="001A12F4"/>
    <w:rsid w:val="001B5139"/>
    <w:rsid w:val="001B6B3B"/>
    <w:rsid w:val="001C1319"/>
    <w:rsid w:val="001C25DB"/>
    <w:rsid w:val="001C5652"/>
    <w:rsid w:val="001D1F6B"/>
    <w:rsid w:val="001D6BED"/>
    <w:rsid w:val="001D7C3B"/>
    <w:rsid w:val="001E34F7"/>
    <w:rsid w:val="001E5172"/>
    <w:rsid w:val="001F2164"/>
    <w:rsid w:val="0020215C"/>
    <w:rsid w:val="00203389"/>
    <w:rsid w:val="00207863"/>
    <w:rsid w:val="002127D6"/>
    <w:rsid w:val="00213B9A"/>
    <w:rsid w:val="002168E4"/>
    <w:rsid w:val="0022020F"/>
    <w:rsid w:val="00223B46"/>
    <w:rsid w:val="0022475B"/>
    <w:rsid w:val="002268A2"/>
    <w:rsid w:val="002320E7"/>
    <w:rsid w:val="00236446"/>
    <w:rsid w:val="002418E5"/>
    <w:rsid w:val="00245363"/>
    <w:rsid w:val="00245907"/>
    <w:rsid w:val="0025357A"/>
    <w:rsid w:val="00256B14"/>
    <w:rsid w:val="00257CDC"/>
    <w:rsid w:val="002609B1"/>
    <w:rsid w:val="002619DA"/>
    <w:rsid w:val="00262878"/>
    <w:rsid w:val="00267EC5"/>
    <w:rsid w:val="00280EF9"/>
    <w:rsid w:val="002831C6"/>
    <w:rsid w:val="0028393C"/>
    <w:rsid w:val="00285167"/>
    <w:rsid w:val="00295072"/>
    <w:rsid w:val="00295D87"/>
    <w:rsid w:val="0029667F"/>
    <w:rsid w:val="00296D3A"/>
    <w:rsid w:val="002A47F6"/>
    <w:rsid w:val="002B7F67"/>
    <w:rsid w:val="002C0612"/>
    <w:rsid w:val="002C4773"/>
    <w:rsid w:val="002C62AC"/>
    <w:rsid w:val="002C6F18"/>
    <w:rsid w:val="002D048A"/>
    <w:rsid w:val="002D2D38"/>
    <w:rsid w:val="002F346C"/>
    <w:rsid w:val="00307BC9"/>
    <w:rsid w:val="00312CB9"/>
    <w:rsid w:val="00315CE5"/>
    <w:rsid w:val="0031750E"/>
    <w:rsid w:val="0032618F"/>
    <w:rsid w:val="003261EF"/>
    <w:rsid w:val="003279D1"/>
    <w:rsid w:val="00331A63"/>
    <w:rsid w:val="003363C4"/>
    <w:rsid w:val="003528D8"/>
    <w:rsid w:val="0036049A"/>
    <w:rsid w:val="00360DA7"/>
    <w:rsid w:val="00361D11"/>
    <w:rsid w:val="00367F58"/>
    <w:rsid w:val="00376AD4"/>
    <w:rsid w:val="003770D0"/>
    <w:rsid w:val="00377AE6"/>
    <w:rsid w:val="00391614"/>
    <w:rsid w:val="00397276"/>
    <w:rsid w:val="003A0C3A"/>
    <w:rsid w:val="003A595D"/>
    <w:rsid w:val="003A62CF"/>
    <w:rsid w:val="003B02BB"/>
    <w:rsid w:val="003B0AD0"/>
    <w:rsid w:val="003B0EB2"/>
    <w:rsid w:val="003B336C"/>
    <w:rsid w:val="003C38D3"/>
    <w:rsid w:val="003C3FBE"/>
    <w:rsid w:val="003D6C07"/>
    <w:rsid w:val="003E669D"/>
    <w:rsid w:val="003E7248"/>
    <w:rsid w:val="003F1130"/>
    <w:rsid w:val="003F55AD"/>
    <w:rsid w:val="004051F1"/>
    <w:rsid w:val="00411EB3"/>
    <w:rsid w:val="004311B7"/>
    <w:rsid w:val="00440AFE"/>
    <w:rsid w:val="00446370"/>
    <w:rsid w:val="0044670A"/>
    <w:rsid w:val="00457963"/>
    <w:rsid w:val="00462960"/>
    <w:rsid w:val="004635B7"/>
    <w:rsid w:val="0049432B"/>
    <w:rsid w:val="00494EEC"/>
    <w:rsid w:val="004960A2"/>
    <w:rsid w:val="00497AC3"/>
    <w:rsid w:val="004A5818"/>
    <w:rsid w:val="004B44F1"/>
    <w:rsid w:val="004B5888"/>
    <w:rsid w:val="004C4BA7"/>
    <w:rsid w:val="004C6C5D"/>
    <w:rsid w:val="004D3DBC"/>
    <w:rsid w:val="004D570A"/>
    <w:rsid w:val="004D796C"/>
    <w:rsid w:val="004E3500"/>
    <w:rsid w:val="004E3C30"/>
    <w:rsid w:val="004F3922"/>
    <w:rsid w:val="004F5A31"/>
    <w:rsid w:val="004F5C88"/>
    <w:rsid w:val="0050634B"/>
    <w:rsid w:val="005121A1"/>
    <w:rsid w:val="005154EE"/>
    <w:rsid w:val="00523A8F"/>
    <w:rsid w:val="005355F0"/>
    <w:rsid w:val="00545892"/>
    <w:rsid w:val="0056441D"/>
    <w:rsid w:val="0056686F"/>
    <w:rsid w:val="0057087C"/>
    <w:rsid w:val="00575716"/>
    <w:rsid w:val="00576CB2"/>
    <w:rsid w:val="00580CEA"/>
    <w:rsid w:val="00587D8D"/>
    <w:rsid w:val="00594D89"/>
    <w:rsid w:val="00596C22"/>
    <w:rsid w:val="005A1EC4"/>
    <w:rsid w:val="005A5D8F"/>
    <w:rsid w:val="005B13A2"/>
    <w:rsid w:val="005B218E"/>
    <w:rsid w:val="005B327B"/>
    <w:rsid w:val="005B7539"/>
    <w:rsid w:val="005C3AA5"/>
    <w:rsid w:val="005C6AB4"/>
    <w:rsid w:val="005E4C82"/>
    <w:rsid w:val="005E583C"/>
    <w:rsid w:val="005E7F23"/>
    <w:rsid w:val="005F042A"/>
    <w:rsid w:val="005F10CC"/>
    <w:rsid w:val="00602383"/>
    <w:rsid w:val="006079D2"/>
    <w:rsid w:val="006101F4"/>
    <w:rsid w:val="00611116"/>
    <w:rsid w:val="0061395C"/>
    <w:rsid w:val="006207BF"/>
    <w:rsid w:val="00632565"/>
    <w:rsid w:val="00633747"/>
    <w:rsid w:val="00641B64"/>
    <w:rsid w:val="00645EA5"/>
    <w:rsid w:val="00663180"/>
    <w:rsid w:val="006657CD"/>
    <w:rsid w:val="0067136C"/>
    <w:rsid w:val="006719EB"/>
    <w:rsid w:val="006751E4"/>
    <w:rsid w:val="00676F6A"/>
    <w:rsid w:val="006824E4"/>
    <w:rsid w:val="0068503E"/>
    <w:rsid w:val="00687B64"/>
    <w:rsid w:val="006953B4"/>
    <w:rsid w:val="006B37A8"/>
    <w:rsid w:val="006B4E39"/>
    <w:rsid w:val="006C041B"/>
    <w:rsid w:val="006C1BEA"/>
    <w:rsid w:val="006C26E8"/>
    <w:rsid w:val="006C2946"/>
    <w:rsid w:val="006C711C"/>
    <w:rsid w:val="006D05EA"/>
    <w:rsid w:val="006E4CD7"/>
    <w:rsid w:val="006F143B"/>
    <w:rsid w:val="006F72D4"/>
    <w:rsid w:val="007167C9"/>
    <w:rsid w:val="00725F48"/>
    <w:rsid w:val="00736F32"/>
    <w:rsid w:val="0074025D"/>
    <w:rsid w:val="00741021"/>
    <w:rsid w:val="0074337D"/>
    <w:rsid w:val="007442D3"/>
    <w:rsid w:val="007472CE"/>
    <w:rsid w:val="007510B8"/>
    <w:rsid w:val="00752F2D"/>
    <w:rsid w:val="0076251F"/>
    <w:rsid w:val="00762801"/>
    <w:rsid w:val="0076579A"/>
    <w:rsid w:val="00772F46"/>
    <w:rsid w:val="00777468"/>
    <w:rsid w:val="00792776"/>
    <w:rsid w:val="00793DD2"/>
    <w:rsid w:val="007A09BC"/>
    <w:rsid w:val="007A20B0"/>
    <w:rsid w:val="007A45D4"/>
    <w:rsid w:val="007B25C2"/>
    <w:rsid w:val="007B5E78"/>
    <w:rsid w:val="007C3044"/>
    <w:rsid w:val="007D1510"/>
    <w:rsid w:val="007E39F0"/>
    <w:rsid w:val="007F0805"/>
    <w:rsid w:val="007F483D"/>
    <w:rsid w:val="007F4EA7"/>
    <w:rsid w:val="00814C00"/>
    <w:rsid w:val="00816BB1"/>
    <w:rsid w:val="0082072E"/>
    <w:rsid w:val="00824070"/>
    <w:rsid w:val="00836682"/>
    <w:rsid w:val="00840836"/>
    <w:rsid w:val="00845A49"/>
    <w:rsid w:val="00853DD1"/>
    <w:rsid w:val="00855AE7"/>
    <w:rsid w:val="0085614A"/>
    <w:rsid w:val="00870BA4"/>
    <w:rsid w:val="00874EF9"/>
    <w:rsid w:val="00883C3A"/>
    <w:rsid w:val="008842FD"/>
    <w:rsid w:val="00884491"/>
    <w:rsid w:val="00884E88"/>
    <w:rsid w:val="008876FA"/>
    <w:rsid w:val="00892504"/>
    <w:rsid w:val="008A248B"/>
    <w:rsid w:val="008A3E94"/>
    <w:rsid w:val="008B4E1A"/>
    <w:rsid w:val="008D5DC9"/>
    <w:rsid w:val="008D6E01"/>
    <w:rsid w:val="008E305F"/>
    <w:rsid w:val="008E3BA4"/>
    <w:rsid w:val="008E5C7F"/>
    <w:rsid w:val="008E6C3C"/>
    <w:rsid w:val="008F08E6"/>
    <w:rsid w:val="008F35E3"/>
    <w:rsid w:val="008F3BC5"/>
    <w:rsid w:val="00900802"/>
    <w:rsid w:val="00900D9B"/>
    <w:rsid w:val="00903D0C"/>
    <w:rsid w:val="00907294"/>
    <w:rsid w:val="00940E3C"/>
    <w:rsid w:val="009413C8"/>
    <w:rsid w:val="009550B8"/>
    <w:rsid w:val="0096426A"/>
    <w:rsid w:val="009671D3"/>
    <w:rsid w:val="00981102"/>
    <w:rsid w:val="00992BEE"/>
    <w:rsid w:val="009B19D6"/>
    <w:rsid w:val="009B1B6C"/>
    <w:rsid w:val="009B3C07"/>
    <w:rsid w:val="009C06E9"/>
    <w:rsid w:val="009C3DAD"/>
    <w:rsid w:val="009C40BB"/>
    <w:rsid w:val="009D27B0"/>
    <w:rsid w:val="009D4412"/>
    <w:rsid w:val="009D7033"/>
    <w:rsid w:val="009E181D"/>
    <w:rsid w:val="009E5F9C"/>
    <w:rsid w:val="009E6275"/>
    <w:rsid w:val="009F0140"/>
    <w:rsid w:val="00A15F4B"/>
    <w:rsid w:val="00A17123"/>
    <w:rsid w:val="00A2030B"/>
    <w:rsid w:val="00A21990"/>
    <w:rsid w:val="00A22067"/>
    <w:rsid w:val="00A311B4"/>
    <w:rsid w:val="00A32BE6"/>
    <w:rsid w:val="00A44C97"/>
    <w:rsid w:val="00A46B35"/>
    <w:rsid w:val="00A50183"/>
    <w:rsid w:val="00A5134C"/>
    <w:rsid w:val="00A52F32"/>
    <w:rsid w:val="00A538A1"/>
    <w:rsid w:val="00A54675"/>
    <w:rsid w:val="00A62C50"/>
    <w:rsid w:val="00A637C1"/>
    <w:rsid w:val="00A6729A"/>
    <w:rsid w:val="00A76A59"/>
    <w:rsid w:val="00A81759"/>
    <w:rsid w:val="00A93F82"/>
    <w:rsid w:val="00A949DE"/>
    <w:rsid w:val="00AA3700"/>
    <w:rsid w:val="00AA3804"/>
    <w:rsid w:val="00AB3BB1"/>
    <w:rsid w:val="00AC10C6"/>
    <w:rsid w:val="00AC5A4C"/>
    <w:rsid w:val="00AD35A0"/>
    <w:rsid w:val="00AD542E"/>
    <w:rsid w:val="00AD6C77"/>
    <w:rsid w:val="00AE0435"/>
    <w:rsid w:val="00AE4616"/>
    <w:rsid w:val="00AE49CB"/>
    <w:rsid w:val="00AF01BA"/>
    <w:rsid w:val="00AF3662"/>
    <w:rsid w:val="00B0163B"/>
    <w:rsid w:val="00B02597"/>
    <w:rsid w:val="00B07BD0"/>
    <w:rsid w:val="00B1655B"/>
    <w:rsid w:val="00B27772"/>
    <w:rsid w:val="00B30EFD"/>
    <w:rsid w:val="00B323F7"/>
    <w:rsid w:val="00B34B2D"/>
    <w:rsid w:val="00B360AA"/>
    <w:rsid w:val="00B3794C"/>
    <w:rsid w:val="00B37D75"/>
    <w:rsid w:val="00B43D03"/>
    <w:rsid w:val="00B4516E"/>
    <w:rsid w:val="00B50164"/>
    <w:rsid w:val="00B52BB8"/>
    <w:rsid w:val="00B53A03"/>
    <w:rsid w:val="00B54BA4"/>
    <w:rsid w:val="00B671CB"/>
    <w:rsid w:val="00B74E3F"/>
    <w:rsid w:val="00B80BC7"/>
    <w:rsid w:val="00BA47C0"/>
    <w:rsid w:val="00BB28B8"/>
    <w:rsid w:val="00BB29F3"/>
    <w:rsid w:val="00BB5C24"/>
    <w:rsid w:val="00BB7039"/>
    <w:rsid w:val="00BD042B"/>
    <w:rsid w:val="00BD6C15"/>
    <w:rsid w:val="00BE719C"/>
    <w:rsid w:val="00BF6AFE"/>
    <w:rsid w:val="00C05355"/>
    <w:rsid w:val="00C12994"/>
    <w:rsid w:val="00C32DCE"/>
    <w:rsid w:val="00C44BBE"/>
    <w:rsid w:val="00C470E1"/>
    <w:rsid w:val="00C5792F"/>
    <w:rsid w:val="00C6347A"/>
    <w:rsid w:val="00C7120A"/>
    <w:rsid w:val="00C74D17"/>
    <w:rsid w:val="00C77013"/>
    <w:rsid w:val="00C82F8A"/>
    <w:rsid w:val="00C83312"/>
    <w:rsid w:val="00C86C5E"/>
    <w:rsid w:val="00C9508B"/>
    <w:rsid w:val="00C96108"/>
    <w:rsid w:val="00CB0673"/>
    <w:rsid w:val="00CC0350"/>
    <w:rsid w:val="00CC2F13"/>
    <w:rsid w:val="00CD3524"/>
    <w:rsid w:val="00CF1BA8"/>
    <w:rsid w:val="00CF73DC"/>
    <w:rsid w:val="00D317F0"/>
    <w:rsid w:val="00D430F9"/>
    <w:rsid w:val="00D5128D"/>
    <w:rsid w:val="00D62959"/>
    <w:rsid w:val="00D66E67"/>
    <w:rsid w:val="00D67883"/>
    <w:rsid w:val="00D70093"/>
    <w:rsid w:val="00D73C2C"/>
    <w:rsid w:val="00D74322"/>
    <w:rsid w:val="00D76355"/>
    <w:rsid w:val="00D767E3"/>
    <w:rsid w:val="00D847D0"/>
    <w:rsid w:val="00DA1992"/>
    <w:rsid w:val="00DB1C80"/>
    <w:rsid w:val="00DB40E7"/>
    <w:rsid w:val="00DB7E3F"/>
    <w:rsid w:val="00DC3ABD"/>
    <w:rsid w:val="00DD00C8"/>
    <w:rsid w:val="00DE3028"/>
    <w:rsid w:val="00DE3FFE"/>
    <w:rsid w:val="00DF7E29"/>
    <w:rsid w:val="00E023F0"/>
    <w:rsid w:val="00E1231D"/>
    <w:rsid w:val="00E151B8"/>
    <w:rsid w:val="00E23B93"/>
    <w:rsid w:val="00E244E1"/>
    <w:rsid w:val="00E30F8A"/>
    <w:rsid w:val="00E3464B"/>
    <w:rsid w:val="00E37F77"/>
    <w:rsid w:val="00E40548"/>
    <w:rsid w:val="00E42D4C"/>
    <w:rsid w:val="00E53F44"/>
    <w:rsid w:val="00E57814"/>
    <w:rsid w:val="00E57F7C"/>
    <w:rsid w:val="00E76489"/>
    <w:rsid w:val="00E83F7E"/>
    <w:rsid w:val="00E85626"/>
    <w:rsid w:val="00E8635C"/>
    <w:rsid w:val="00EA752B"/>
    <w:rsid w:val="00EE2B0C"/>
    <w:rsid w:val="00EF56FF"/>
    <w:rsid w:val="00F1683C"/>
    <w:rsid w:val="00F174DB"/>
    <w:rsid w:val="00F228DF"/>
    <w:rsid w:val="00F324D6"/>
    <w:rsid w:val="00F400BD"/>
    <w:rsid w:val="00F407C1"/>
    <w:rsid w:val="00F40B6D"/>
    <w:rsid w:val="00F4411B"/>
    <w:rsid w:val="00F53FEB"/>
    <w:rsid w:val="00F57263"/>
    <w:rsid w:val="00F61119"/>
    <w:rsid w:val="00F63122"/>
    <w:rsid w:val="00F700BD"/>
    <w:rsid w:val="00F761B2"/>
    <w:rsid w:val="00F843F2"/>
    <w:rsid w:val="00F96D30"/>
    <w:rsid w:val="00FA43D0"/>
    <w:rsid w:val="00FB2A58"/>
    <w:rsid w:val="00FC5B43"/>
    <w:rsid w:val="00FD487C"/>
    <w:rsid w:val="00FE0B03"/>
    <w:rsid w:val="00FE0D32"/>
    <w:rsid w:val="00FE349F"/>
    <w:rsid w:val="00FF2B76"/>
    <w:rsid w:val="00FF628C"/>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en-US"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en-US"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en-US"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en-US"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en-US"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en-US"/>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en-US"/>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en-US"/>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en-US"/>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Fett">
    <w:name w:val="Strong"/>
    <w:basedOn w:val="Absatz-Standardschriftart"/>
    <w:uiPriority w:val="22"/>
    <w:qFormat/>
    <w:rsid w:val="001A12F4"/>
    <w:rPr>
      <w:b/>
      <w:bCs/>
    </w:rPr>
  </w:style>
  <w:style w:type="character" w:styleId="Erwhnung">
    <w:name w:val="Mention"/>
    <w:basedOn w:val="Absatz-Standardschriftart"/>
    <w:uiPriority w:val="99"/>
    <w:unhideWhenUsed/>
    <w:rsid w:val="006C2946"/>
    <w:rPr>
      <w:color w:val="2B579A"/>
      <w:shd w:val="clear" w:color="auto" w:fill="E1DFDD"/>
    </w:rPr>
  </w:style>
  <w:style w:type="character" w:styleId="BesuchterLink">
    <w:name w:val="FollowedHyperlink"/>
    <w:basedOn w:val="Absatz-Standardschriftart"/>
    <w:uiPriority w:val="99"/>
    <w:semiHidden/>
    <w:unhideWhenUsed/>
    <w:rsid w:val="002C62AC"/>
    <w:rPr>
      <w:color w:val="954F72" w:themeColor="followedHyperlink"/>
      <w:u w:val="single"/>
    </w:rPr>
  </w:style>
  <w:style w:type="paragraph" w:customStyle="1" w:styleId="TBodynormalNumber">
    <w:name w:val="T_Body_normal_Number"/>
    <w:basedOn w:val="Standard"/>
    <w:link w:val="TBodynormalNumberZchn"/>
    <w:qFormat/>
    <w:rsid w:val="008E3BA4"/>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cs="Times New Roman"/>
      <w:spacing w:val="2"/>
      <w:sz w:val="13"/>
      <w:szCs w:val="20"/>
      <w:lang w:eastAsia="zh-CN"/>
    </w:rPr>
  </w:style>
  <w:style w:type="paragraph" w:customStyle="1" w:styleId="TBodynormalText">
    <w:name w:val="T_Body_normal_Text"/>
    <w:basedOn w:val="TBodynormalNumber"/>
    <w:link w:val="TBodynormalTextZchn"/>
    <w:qFormat/>
    <w:rsid w:val="008E3BA4"/>
    <w:pPr>
      <w:ind w:left="0"/>
      <w:jc w:val="left"/>
    </w:pPr>
    <w:rPr>
      <w:spacing w:val="5"/>
      <w:kern w:val="1"/>
      <w:szCs w:val="16"/>
    </w:rPr>
  </w:style>
  <w:style w:type="paragraph" w:customStyle="1" w:styleId="TDummyRow">
    <w:name w:val="T_Dummy_Row"/>
    <w:basedOn w:val="Standard"/>
    <w:qFormat/>
    <w:rsid w:val="008E3BA4"/>
    <w:pPr>
      <w:keepNext/>
      <w:keepLines w:val="0"/>
      <w:tabs>
        <w:tab w:val="left" w:pos="170"/>
        <w:tab w:val="left" w:pos="340"/>
        <w:tab w:val="left" w:pos="510"/>
        <w:tab w:val="left" w:pos="680"/>
        <w:tab w:val="left" w:pos="851"/>
      </w:tabs>
      <w:suppressAutoHyphens/>
      <w:spacing w:after="0" w:line="14" w:lineRule="exact"/>
      <w:ind w:left="57" w:right="57"/>
      <w:jc w:val="right"/>
    </w:pPr>
    <w:rPr>
      <w:rFonts w:ascii="Continental Stag Sans Light" w:eastAsia="SimSun" w:hAnsi="Continental Stag Sans Light" w:cs="Times New Roman"/>
      <w:spacing w:val="2"/>
      <w:sz w:val="13"/>
      <w:szCs w:val="20"/>
      <w:lang w:eastAsia="zh-CN"/>
    </w:rPr>
  </w:style>
  <w:style w:type="paragraph" w:customStyle="1" w:styleId="THeadfirstNumber">
    <w:name w:val="T_Head_first_Number"/>
    <w:basedOn w:val="Standard"/>
    <w:qFormat/>
    <w:rsid w:val="008E3BA4"/>
    <w:pPr>
      <w:keepNext/>
      <w:keepLines w:val="0"/>
      <w:tabs>
        <w:tab w:val="left" w:pos="170"/>
        <w:tab w:val="left" w:pos="340"/>
        <w:tab w:val="left" w:pos="510"/>
        <w:tab w:val="left" w:pos="680"/>
        <w:tab w:val="left" w:pos="851"/>
      </w:tabs>
      <w:suppressAutoHyphens/>
      <w:spacing w:before="176" w:after="49" w:line="160" w:lineRule="exact"/>
      <w:ind w:left="57" w:right="57"/>
      <w:jc w:val="right"/>
    </w:pPr>
    <w:rPr>
      <w:rFonts w:ascii="Continental Stag Sans Light" w:eastAsia="SimSun" w:hAnsi="Continental Stag Sans Light" w:cs="Times New Roman"/>
      <w:spacing w:val="4"/>
      <w:sz w:val="13"/>
      <w:szCs w:val="20"/>
      <w:lang w:eastAsia="zh-CN"/>
    </w:rPr>
  </w:style>
  <w:style w:type="paragraph" w:customStyle="1" w:styleId="THeadfirstText">
    <w:name w:val="T_Head_first_Text"/>
    <w:basedOn w:val="THeadfirstNumber"/>
    <w:qFormat/>
    <w:rsid w:val="008E3BA4"/>
    <w:pPr>
      <w:ind w:left="0"/>
      <w:jc w:val="left"/>
    </w:pPr>
    <w:rPr>
      <w:rFonts w:ascii="Continental Stag Sans Med" w:hAnsi="Continental Stag Sans Med"/>
      <w:spacing w:val="5"/>
      <w:kern w:val="1"/>
      <w:szCs w:val="16"/>
    </w:rPr>
  </w:style>
  <w:style w:type="paragraph" w:customStyle="1" w:styleId="THeadlastNumber">
    <w:name w:val="T_Head_last_Number"/>
    <w:basedOn w:val="Standard"/>
    <w:qFormat/>
    <w:rsid w:val="008E3BA4"/>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cs="Times New Roman"/>
      <w:spacing w:val="4"/>
      <w:sz w:val="13"/>
      <w:szCs w:val="20"/>
      <w:lang w:eastAsia="zh-CN"/>
    </w:rPr>
  </w:style>
  <w:style w:type="paragraph" w:customStyle="1" w:styleId="THeadlastText">
    <w:name w:val="T_Head_last_Text"/>
    <w:basedOn w:val="THeadlastNumber"/>
    <w:qFormat/>
    <w:rsid w:val="008E3BA4"/>
    <w:pPr>
      <w:ind w:left="0"/>
      <w:jc w:val="left"/>
    </w:pPr>
    <w:rPr>
      <w:rFonts w:ascii="Continental Stag Sans Med" w:hAnsi="Continental Stag Sans Med"/>
      <w:spacing w:val="5"/>
      <w:kern w:val="1"/>
      <w:szCs w:val="16"/>
    </w:rPr>
  </w:style>
  <w:style w:type="paragraph" w:customStyle="1" w:styleId="TNote">
    <w:name w:val="T_Note"/>
    <w:basedOn w:val="Standard"/>
    <w:next w:val="Standard"/>
    <w:qFormat/>
    <w:rsid w:val="008E3BA4"/>
    <w:pPr>
      <w:keepLines w:val="0"/>
      <w:suppressAutoHyphens/>
      <w:spacing w:before="146" w:after="440" w:line="160" w:lineRule="exact"/>
      <w:ind w:left="113" w:hanging="113"/>
      <w:contextualSpacing/>
    </w:pPr>
    <w:rPr>
      <w:rFonts w:ascii="Continental Stag Sans Light" w:eastAsia="SimSun" w:hAnsi="Continental Stag Sans Light" w:cs="Times New Roman"/>
      <w:i/>
      <w:spacing w:val="4"/>
      <w:kern w:val="1"/>
      <w:sz w:val="13"/>
      <w:szCs w:val="20"/>
      <w:lang w:eastAsia="zh-CN"/>
    </w:rPr>
  </w:style>
  <w:style w:type="paragraph" w:customStyle="1" w:styleId="05-Answer">
    <w:name w:val="05-Answer"/>
    <w:basedOn w:val="Standard"/>
    <w:rsid w:val="00A637C1"/>
    <w:pPr>
      <w:keepLines w:val="0"/>
      <w:numPr>
        <w:numId w:val="12"/>
      </w:numPr>
      <w:spacing w:before="100" w:after="160"/>
    </w:pPr>
    <w:rPr>
      <w:rFonts w:cs="Arial"/>
      <w:lang w:eastAsia="de-DE"/>
    </w:rPr>
  </w:style>
  <w:style w:type="paragraph" w:styleId="berarbeitung">
    <w:name w:val="Revision"/>
    <w:hidden/>
    <w:uiPriority w:val="99"/>
    <w:semiHidden/>
    <w:rsid w:val="00C82F8A"/>
    <w:pPr>
      <w:spacing w:after="0" w:line="240" w:lineRule="auto"/>
    </w:pPr>
    <w:rPr>
      <w:rFonts w:ascii="Arial" w:hAnsi="Arial"/>
    </w:rPr>
  </w:style>
  <w:style w:type="character" w:customStyle="1" w:styleId="TBodynormalNumberZchn">
    <w:name w:val="T_Body_normal_Number Zchn"/>
    <w:basedOn w:val="Absatz-Standardschriftart"/>
    <w:link w:val="TBodynormalNumber"/>
    <w:locked/>
    <w:rsid w:val="00B1655B"/>
    <w:rPr>
      <w:rFonts w:ascii="Continental Stag Sans Light" w:eastAsia="SimSun" w:hAnsi="Continental Stag Sans Light" w:cs="Times New Roman"/>
      <w:spacing w:val="2"/>
      <w:sz w:val="13"/>
      <w:szCs w:val="20"/>
      <w:lang w:val="en-US" w:eastAsia="zh-CN"/>
    </w:rPr>
  </w:style>
  <w:style w:type="character" w:customStyle="1" w:styleId="TBodynormalTextZchn">
    <w:name w:val="T_Body_normal_Text Zchn"/>
    <w:basedOn w:val="TBodynormalNumberZchn"/>
    <w:link w:val="TBodynormalText"/>
    <w:locked/>
    <w:rsid w:val="00B1655B"/>
    <w:rPr>
      <w:rFonts w:ascii="Continental Stag Sans Light" w:eastAsia="SimSun" w:hAnsi="Continental Stag Sans Light" w:cs="Times New Roman"/>
      <w:spacing w:val="5"/>
      <w:kern w:val="1"/>
      <w:sz w:val="13"/>
      <w:szCs w:val="16"/>
      <w:lang w:val="en-US" w:eastAsia="zh-CN"/>
    </w:rPr>
  </w:style>
  <w:style w:type="paragraph" w:customStyle="1" w:styleId="StandardohneAbstand">
    <w:name w:val="Standard ohne Abstand"/>
    <w:basedOn w:val="Standard"/>
    <w:link w:val="StandardohneAbstandZchn1"/>
    <w:qFormat/>
    <w:rsid w:val="00162141"/>
    <w:pPr>
      <w:keepLines w:val="0"/>
      <w:spacing w:after="0" w:line="220" w:lineRule="exact"/>
    </w:pPr>
    <w:rPr>
      <w:rFonts w:ascii="Continental Stag Sans Light" w:eastAsia="SimSun" w:hAnsi="Continental Stag Sans Light" w:cs="Times New Roman"/>
      <w:spacing w:val="4"/>
      <w:kern w:val="2"/>
      <w:sz w:val="17"/>
      <w:szCs w:val="20"/>
      <w:lang w:eastAsia="zh-CN"/>
    </w:rPr>
  </w:style>
  <w:style w:type="character" w:customStyle="1" w:styleId="StandardohneAbstandZchn1">
    <w:name w:val="Standard ohne Abstand Zchn1"/>
    <w:basedOn w:val="Absatz-Standardschriftart"/>
    <w:link w:val="StandardohneAbstand"/>
    <w:rsid w:val="00162141"/>
    <w:rPr>
      <w:rFonts w:ascii="Continental Stag Sans Light" w:eastAsia="SimSun" w:hAnsi="Continental Stag Sans Light" w:cs="Times New Roman"/>
      <w:spacing w:val="4"/>
      <w:kern w:val="2"/>
      <w:sz w:val="17"/>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392">
      <w:bodyDiv w:val="1"/>
      <w:marLeft w:val="0"/>
      <w:marRight w:val="0"/>
      <w:marTop w:val="0"/>
      <w:marBottom w:val="0"/>
      <w:divBdr>
        <w:top w:val="none" w:sz="0" w:space="0" w:color="auto"/>
        <w:left w:val="none" w:sz="0" w:space="0" w:color="auto"/>
        <w:bottom w:val="none" w:sz="0" w:space="0" w:color="auto"/>
        <w:right w:val="none" w:sz="0" w:space="0" w:color="auto"/>
      </w:divBdr>
    </w:div>
    <w:div w:id="237978226">
      <w:bodyDiv w:val="1"/>
      <w:marLeft w:val="0"/>
      <w:marRight w:val="0"/>
      <w:marTop w:val="0"/>
      <w:marBottom w:val="0"/>
      <w:divBdr>
        <w:top w:val="none" w:sz="0" w:space="0" w:color="auto"/>
        <w:left w:val="none" w:sz="0" w:space="0" w:color="auto"/>
        <w:bottom w:val="none" w:sz="0" w:space="0" w:color="auto"/>
        <w:right w:val="none" w:sz="0" w:space="0" w:color="auto"/>
      </w:divBdr>
    </w:div>
    <w:div w:id="534268047">
      <w:bodyDiv w:val="1"/>
      <w:marLeft w:val="0"/>
      <w:marRight w:val="0"/>
      <w:marTop w:val="0"/>
      <w:marBottom w:val="0"/>
      <w:divBdr>
        <w:top w:val="none" w:sz="0" w:space="0" w:color="auto"/>
        <w:left w:val="none" w:sz="0" w:space="0" w:color="auto"/>
        <w:bottom w:val="none" w:sz="0" w:space="0" w:color="auto"/>
        <w:right w:val="none" w:sz="0" w:space="0" w:color="auto"/>
      </w:divBdr>
    </w:div>
    <w:div w:id="752823520">
      <w:bodyDiv w:val="1"/>
      <w:marLeft w:val="0"/>
      <w:marRight w:val="0"/>
      <w:marTop w:val="0"/>
      <w:marBottom w:val="0"/>
      <w:divBdr>
        <w:top w:val="none" w:sz="0" w:space="0" w:color="auto"/>
        <w:left w:val="none" w:sz="0" w:space="0" w:color="auto"/>
        <w:bottom w:val="none" w:sz="0" w:space="0" w:color="auto"/>
        <w:right w:val="none" w:sz="0" w:space="0" w:color="auto"/>
      </w:divBdr>
    </w:div>
    <w:div w:id="1312708806">
      <w:bodyDiv w:val="1"/>
      <w:marLeft w:val="0"/>
      <w:marRight w:val="0"/>
      <w:marTop w:val="0"/>
      <w:marBottom w:val="0"/>
      <w:divBdr>
        <w:top w:val="none" w:sz="0" w:space="0" w:color="auto"/>
        <w:left w:val="none" w:sz="0" w:space="0" w:color="auto"/>
        <w:bottom w:val="none" w:sz="0" w:space="0" w:color="auto"/>
        <w:right w:val="none" w:sz="0" w:space="0" w:color="auto"/>
      </w:divBdr>
    </w:div>
    <w:div w:id="1838954065">
      <w:bodyDiv w:val="1"/>
      <w:marLeft w:val="0"/>
      <w:marRight w:val="0"/>
      <w:marTop w:val="0"/>
      <w:marBottom w:val="0"/>
      <w:divBdr>
        <w:top w:val="none" w:sz="0" w:space="0" w:color="auto"/>
        <w:left w:val="none" w:sz="0" w:space="0" w:color="auto"/>
        <w:bottom w:val="none" w:sz="0" w:space="0" w:color="auto"/>
        <w:right w:val="none" w:sz="0" w:space="0" w:color="auto"/>
      </w:divBdr>
    </w:div>
    <w:div w:id="2020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charles@conti.de" TargetMode="External"/><Relationship Id="rId13" Type="http://schemas.openxmlformats.org/officeDocument/2006/relationships/hyperlink" Target="http://www.continental-press.com" TargetMode="External"/><Relationship Id="rId3" Type="http://schemas.openxmlformats.org/officeDocument/2006/relationships/settings" Target="settings.xml"/><Relationship Id="rId7" Type="http://schemas.openxmlformats.org/officeDocument/2006/relationships/hyperlink" Target="mailto:henry.schniewind@conti.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conti_pres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tinental.com/medi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13585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2020-05-07T05:45:00Z</dcterms:created>
  <dcterms:modified xsi:type="dcterms:W3CDTF">2020-05-07T05:49:00Z</dcterms:modified>
</cp:coreProperties>
</file>