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54FF1" w14:textId="2B9D9753" w:rsidR="005A5D8F" w:rsidRPr="009578ED" w:rsidRDefault="005A5D8F" w:rsidP="009578ED">
      <w:pPr>
        <w:pStyle w:val="01-Headline"/>
      </w:pPr>
      <w:r w:rsidRPr="009578ED">
        <mc:AlternateContent>
          <mc:Choice Requires="wps">
            <w:drawing>
              <wp:anchor distT="4294967292" distB="4294967292" distL="114300" distR="114300" simplePos="0" relativeHeight="251658240" behindDoc="0" locked="0" layoutInCell="1" allowOverlap="1" wp14:anchorId="3B2579F7" wp14:editId="57C32105">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01A52"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9578ED">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F30A9"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strokeweight=".45pt">
                <w10:wrap anchorx="page" anchory="page"/>
              </v:line>
            </w:pict>
          </mc:Fallback>
        </mc:AlternateContent>
      </w:r>
      <w:r w:rsidR="00B37D75" w:rsidRPr="009578ED">
        <w:t xml:space="preserve">Erstes Quartal 2020: </w:t>
      </w:r>
      <w:r w:rsidR="004D3DBC" w:rsidRPr="009578ED">
        <w:t xml:space="preserve">Continental </w:t>
      </w:r>
      <w:r w:rsidR="00181A28" w:rsidRPr="009578ED">
        <w:t>erhöht</w:t>
      </w:r>
      <w:r w:rsidR="006C1BEA" w:rsidRPr="009578ED">
        <w:t xml:space="preserve"> Kostendisziplin</w:t>
      </w:r>
    </w:p>
    <w:p w14:paraId="26028FE2" w14:textId="68B19010" w:rsidR="00A311B4" w:rsidRPr="009578ED" w:rsidRDefault="00B323F7" w:rsidP="009578ED">
      <w:pPr>
        <w:pStyle w:val="02-Bullet"/>
      </w:pPr>
      <w:r w:rsidRPr="009578ED">
        <w:t>Konzernumsatz</w:t>
      </w:r>
      <w:r w:rsidR="00F57263" w:rsidRPr="009578ED">
        <w:t xml:space="preserve"> </w:t>
      </w:r>
      <w:r w:rsidR="004D3DBC" w:rsidRPr="009578ED">
        <w:t xml:space="preserve">liegt </w:t>
      </w:r>
      <w:r w:rsidR="00F57263" w:rsidRPr="009578ED">
        <w:t xml:space="preserve">im </w:t>
      </w:r>
      <w:r w:rsidR="004D3DBC" w:rsidRPr="009578ED">
        <w:t>ersten</w:t>
      </w:r>
      <w:r w:rsidR="00F57263" w:rsidRPr="009578ED">
        <w:t xml:space="preserve"> Quartal</w:t>
      </w:r>
      <w:r w:rsidR="003A595D" w:rsidRPr="009578ED">
        <w:t xml:space="preserve"> bei 9,8 Milliarden Euro, bereinigte EBIT-Marge bei 4,4</w:t>
      </w:r>
      <w:r w:rsidR="00F57263" w:rsidRPr="009578ED">
        <w:t> </w:t>
      </w:r>
      <w:r w:rsidR="003A595D" w:rsidRPr="009578ED">
        <w:t>Prozent</w:t>
      </w:r>
      <w:r w:rsidR="008B4E1A" w:rsidRPr="009578ED">
        <w:t>, o</w:t>
      </w:r>
      <w:r w:rsidRPr="009578ED">
        <w:t>rganischer Umsatzrückgang</w:t>
      </w:r>
      <w:r w:rsidR="004D3DBC" w:rsidRPr="009578ED">
        <w:t xml:space="preserve"> beträgt -10,9 Prozent</w:t>
      </w:r>
    </w:p>
    <w:p w14:paraId="0165C653" w14:textId="4E9AC8E1" w:rsidR="003A595D" w:rsidRPr="009578ED" w:rsidRDefault="003A595D" w:rsidP="009578ED">
      <w:pPr>
        <w:pStyle w:val="02-Bullet"/>
      </w:pPr>
      <w:r w:rsidRPr="009578ED">
        <w:t xml:space="preserve">Hohe </w:t>
      </w:r>
      <w:r w:rsidR="008E3BA4" w:rsidRPr="009578ED">
        <w:t>Liquidität</w:t>
      </w:r>
      <w:r w:rsidRPr="009578ED">
        <w:t xml:space="preserve"> (</w:t>
      </w:r>
      <w:r w:rsidR="005B218E" w:rsidRPr="009578ED">
        <w:t>6,8</w:t>
      </w:r>
      <w:r w:rsidRPr="009578ED">
        <w:t xml:space="preserve"> Milliarden Euro) und leicht positiver Free Cashflow</w:t>
      </w:r>
      <w:r w:rsidR="004D3DBC" w:rsidRPr="009578ED">
        <w:t xml:space="preserve"> vor Akquisitionen und Carve-out Effekten</w:t>
      </w:r>
      <w:r w:rsidRPr="009578ED">
        <w:t xml:space="preserve"> (59 Millionen Euro)</w:t>
      </w:r>
      <w:r w:rsidR="00F57263" w:rsidRPr="009578ED">
        <w:t xml:space="preserve"> nach drei Monaten</w:t>
      </w:r>
    </w:p>
    <w:p w14:paraId="411C21F3" w14:textId="6050D9A2" w:rsidR="005B218E" w:rsidRPr="009578ED" w:rsidRDefault="005B218E" w:rsidP="009578ED">
      <w:pPr>
        <w:pStyle w:val="02-Bullet"/>
      </w:pPr>
      <w:r w:rsidRPr="009578ED">
        <w:t>CEO Dr. Elmar Degenhart: „</w:t>
      </w:r>
      <w:r w:rsidR="007F0805" w:rsidRPr="009578ED">
        <w:t>Die finanziellen Auswirkungen der Corona-Pandemie werden im zweiten Quartal noch deutlich spürbarer zu Buche schlagen</w:t>
      </w:r>
      <w:r w:rsidRPr="009578ED">
        <w:t>.“</w:t>
      </w:r>
    </w:p>
    <w:p w14:paraId="26639F79" w14:textId="18FAC44D" w:rsidR="00CF73DC" w:rsidRPr="009578ED" w:rsidRDefault="004E3C30" w:rsidP="009578ED">
      <w:pPr>
        <w:pStyle w:val="02-Bullet"/>
      </w:pPr>
      <w:r w:rsidRPr="009578ED">
        <w:t>Unternehmen strebt mit Blick auf die aktuelle Marktlage an, Investitionen</w:t>
      </w:r>
      <w:r w:rsidR="006824E4" w:rsidRPr="009578ED">
        <w:t xml:space="preserve"> im laufe</w:t>
      </w:r>
      <w:r w:rsidR="009D4412" w:rsidRPr="009578ED">
        <w:t>n</w:t>
      </w:r>
      <w:r w:rsidR="006824E4" w:rsidRPr="009578ED">
        <w:t>den Geschäftsjahr</w:t>
      </w:r>
      <w:r w:rsidRPr="009578ED">
        <w:t xml:space="preserve"> um </w:t>
      </w:r>
      <w:r w:rsidR="006824E4" w:rsidRPr="009578ED">
        <w:t>mindesten</w:t>
      </w:r>
      <w:r w:rsidR="00A60C05" w:rsidRPr="009578ED">
        <w:t>s</w:t>
      </w:r>
      <w:r w:rsidR="006824E4" w:rsidRPr="009578ED">
        <w:t xml:space="preserve"> 20 Prozent</w:t>
      </w:r>
      <w:r w:rsidRPr="009578ED">
        <w:t xml:space="preserve"> zu senken</w:t>
      </w:r>
    </w:p>
    <w:p w14:paraId="52FD36F5" w14:textId="28678F23" w:rsidR="00F57263" w:rsidRPr="009578ED" w:rsidRDefault="00312CB9" w:rsidP="009578ED">
      <w:pPr>
        <w:pStyle w:val="02-Bullet"/>
      </w:pPr>
      <w:r w:rsidRPr="009578ED">
        <w:t>Für 2020 rechnet Continental</w:t>
      </w:r>
      <w:r w:rsidR="004D3DBC" w:rsidRPr="009578ED">
        <w:t xml:space="preserve"> mit </w:t>
      </w:r>
      <w:r w:rsidR="00F57263" w:rsidRPr="009578ED">
        <w:t xml:space="preserve">Umsatz und Ertrag deutlich </w:t>
      </w:r>
      <w:r w:rsidR="004D3DBC" w:rsidRPr="009578ED">
        <w:t xml:space="preserve">unter </w:t>
      </w:r>
      <w:r w:rsidR="00F57263" w:rsidRPr="009578ED">
        <w:t>Vorjahreswerten</w:t>
      </w:r>
    </w:p>
    <w:p w14:paraId="134E6C6C" w14:textId="636FAF09" w:rsidR="00545892" w:rsidRPr="009578ED" w:rsidRDefault="00545892" w:rsidP="009578ED">
      <w:pPr>
        <w:pStyle w:val="02-Bullet"/>
      </w:pPr>
      <w:r w:rsidRPr="009578ED">
        <w:t xml:space="preserve">Vorstand verzichtet </w:t>
      </w:r>
      <w:r w:rsidR="008B4E1A" w:rsidRPr="009578ED">
        <w:t xml:space="preserve">auf 10 Prozent Fixgehalt für </w:t>
      </w:r>
      <w:r w:rsidRPr="009578ED">
        <w:t xml:space="preserve">drei weitere Monate </w:t>
      </w:r>
      <w:r w:rsidR="001E34F7" w:rsidRPr="009578ED">
        <w:t>(</w:t>
      </w:r>
      <w:r w:rsidRPr="009578ED">
        <w:t>bis Ende Juli</w:t>
      </w:r>
      <w:r w:rsidR="001E34F7" w:rsidRPr="009578ED">
        <w:t>)</w:t>
      </w:r>
    </w:p>
    <w:p w14:paraId="217BBB16" w14:textId="33FA4ACD" w:rsidR="0076579A" w:rsidRPr="009578ED" w:rsidRDefault="00BB7039" w:rsidP="009578ED">
      <w:pPr>
        <w:pStyle w:val="02-Bullet"/>
      </w:pPr>
      <w:r w:rsidRPr="009578ED">
        <w:t xml:space="preserve">Wiederanlauf: </w:t>
      </w:r>
      <w:r w:rsidR="0059680C">
        <w:t>V</w:t>
      </w:r>
      <w:r w:rsidR="00CF73DC" w:rsidRPr="009578ED">
        <w:t xml:space="preserve">orübergehender </w:t>
      </w:r>
      <w:r w:rsidRPr="009578ED">
        <w:t>Produktionsstopp noch an rund ein</w:t>
      </w:r>
      <w:r w:rsidR="00127D4A" w:rsidRPr="009578ED">
        <w:t>em</w:t>
      </w:r>
      <w:r w:rsidRPr="009578ED">
        <w:t xml:space="preserve"> Fünftel </w:t>
      </w:r>
      <w:r w:rsidR="0076579A" w:rsidRPr="009578ED">
        <w:t>aller</w:t>
      </w:r>
      <w:r w:rsidRPr="009578ED">
        <w:t xml:space="preserve"> Standorte</w:t>
      </w:r>
    </w:p>
    <w:p w14:paraId="3922E9C6" w14:textId="323BD473" w:rsidR="004D3DBC" w:rsidRPr="009578ED" w:rsidRDefault="00105D8C" w:rsidP="009578ED">
      <w:pPr>
        <w:pStyle w:val="02-Bullet"/>
      </w:pPr>
      <w:r w:rsidRPr="009578ED">
        <w:t xml:space="preserve">Weltweites </w:t>
      </w:r>
      <w:r w:rsidR="00DD00C8" w:rsidRPr="009578ED">
        <w:t xml:space="preserve">Schutzkonzept </w:t>
      </w:r>
      <w:r w:rsidRPr="009578ED">
        <w:t xml:space="preserve">für </w:t>
      </w:r>
      <w:r w:rsidR="00DD00C8" w:rsidRPr="009578ED">
        <w:t>pandemiesichere Produktion</w:t>
      </w:r>
      <w:r w:rsidR="006207BF" w:rsidRPr="009578ED">
        <w:t xml:space="preserve"> </w:t>
      </w:r>
      <w:r w:rsidR="00E30F8A" w:rsidRPr="009578ED">
        <w:t>etabliert</w:t>
      </w:r>
      <w:r w:rsidR="00C77013" w:rsidRPr="009578ED">
        <w:t>, e</w:t>
      </w:r>
      <w:r w:rsidRPr="009578ED">
        <w:t>igene</w:t>
      </w:r>
      <w:r w:rsidR="00DD00C8" w:rsidRPr="009578ED">
        <w:t xml:space="preserve"> </w:t>
      </w:r>
      <w:r w:rsidR="00262878" w:rsidRPr="009578ED">
        <w:t>Schutzm</w:t>
      </w:r>
      <w:r w:rsidR="00DD00C8" w:rsidRPr="009578ED">
        <w:t>askenproduktion</w:t>
      </w:r>
      <w:r w:rsidR="00C77013" w:rsidRPr="009578ED">
        <w:t xml:space="preserve"> geplant</w:t>
      </w:r>
    </w:p>
    <w:p w14:paraId="5A7D8282" w14:textId="7D9B1CDD" w:rsidR="004D3DBC" w:rsidRPr="009578ED" w:rsidRDefault="008A248B" w:rsidP="009578ED">
      <w:pPr>
        <w:pStyle w:val="03-Text"/>
      </w:pPr>
      <w:r w:rsidRPr="009578ED">
        <w:t>Hannover</w:t>
      </w:r>
      <w:r w:rsidR="005A5D8F" w:rsidRPr="009578ED">
        <w:t xml:space="preserve">, </w:t>
      </w:r>
      <w:r w:rsidRPr="009578ED">
        <w:t>7. Mai 2020</w:t>
      </w:r>
      <w:r w:rsidR="005A5D8F" w:rsidRPr="009578ED">
        <w:t xml:space="preserve">. </w:t>
      </w:r>
      <w:r w:rsidRPr="009578ED">
        <w:t xml:space="preserve">Umsatz und Gewinn von Continental sind im ersten Quartal deutlich zurückgegangen. </w:t>
      </w:r>
      <w:r w:rsidR="006953B4" w:rsidRPr="009578ED">
        <w:t xml:space="preserve">Grund </w:t>
      </w:r>
      <w:r w:rsidR="00B0163B" w:rsidRPr="009578ED">
        <w:t>hierfür</w:t>
      </w:r>
      <w:r w:rsidR="006953B4" w:rsidRPr="009578ED">
        <w:t xml:space="preserve"> ist vor allem der durch das Corona</w:t>
      </w:r>
      <w:r w:rsidR="004D3DBC" w:rsidRPr="009578ED">
        <w:t>v</w:t>
      </w:r>
      <w:r w:rsidR="006953B4" w:rsidRPr="009578ED">
        <w:t>irus hervorgerufene Produktions</w:t>
      </w:r>
      <w:r w:rsidR="004D3DBC" w:rsidRPr="009578ED">
        <w:t>s</w:t>
      </w:r>
      <w:r w:rsidR="006953B4" w:rsidRPr="009578ED">
        <w:t xml:space="preserve">topp in China und die damit verbundenen Auswirkungen. So </w:t>
      </w:r>
      <w:r w:rsidR="00900802" w:rsidRPr="009578ED">
        <w:t>sank</w:t>
      </w:r>
      <w:r w:rsidR="007E39F0" w:rsidRPr="009578ED">
        <w:t xml:space="preserve"> im Berichtszeitraum </w:t>
      </w:r>
      <w:r w:rsidR="00900802" w:rsidRPr="009578ED">
        <w:t>die</w:t>
      </w:r>
      <w:r w:rsidR="006953B4" w:rsidRPr="009578ED">
        <w:t xml:space="preserve"> Produktion von Pkw und leichten Nutzfahrzeugen</w:t>
      </w:r>
      <w:r w:rsidR="00900802" w:rsidRPr="009578ED">
        <w:t xml:space="preserve"> </w:t>
      </w:r>
      <w:r w:rsidR="007E39F0" w:rsidRPr="009578ED">
        <w:t>in China</w:t>
      </w:r>
      <w:r w:rsidR="006953B4" w:rsidRPr="009578ED">
        <w:t xml:space="preserve"> </w:t>
      </w:r>
      <w:r w:rsidR="00900802" w:rsidRPr="009578ED">
        <w:t xml:space="preserve">nach aktuellen Schätzungen um </w:t>
      </w:r>
      <w:r w:rsidR="00A637C1" w:rsidRPr="009578ED">
        <w:t xml:space="preserve">rund 50 </w:t>
      </w:r>
      <w:r w:rsidR="006953B4" w:rsidRPr="009578ED">
        <w:t>Prozent</w:t>
      </w:r>
      <w:r w:rsidR="007E39F0" w:rsidRPr="009578ED">
        <w:t xml:space="preserve"> im Vergleich zum Vorjahr. </w:t>
      </w:r>
      <w:r w:rsidR="00B02597" w:rsidRPr="009578ED">
        <w:t>A</w:t>
      </w:r>
      <w:r w:rsidR="00AC5A4C" w:rsidRPr="009578ED">
        <w:t xml:space="preserve">uch die Märkte in </w:t>
      </w:r>
      <w:r w:rsidR="007E39F0" w:rsidRPr="009578ED">
        <w:t>Europa (</w:t>
      </w:r>
      <w:r w:rsidR="00A637C1" w:rsidRPr="009578ED">
        <w:t xml:space="preserve">rund </w:t>
      </w:r>
      <w:r w:rsidR="00272678">
        <w:br/>
      </w:r>
      <w:r w:rsidR="007E39F0" w:rsidRPr="009578ED">
        <w:t>-</w:t>
      </w:r>
      <w:r w:rsidR="00A637C1" w:rsidRPr="009578ED">
        <w:t>20</w:t>
      </w:r>
      <w:r w:rsidR="00272678">
        <w:t> </w:t>
      </w:r>
      <w:r w:rsidR="007E39F0" w:rsidRPr="009578ED">
        <w:t xml:space="preserve">Prozent) und </w:t>
      </w:r>
      <w:r w:rsidR="005B218E" w:rsidRPr="009578ED">
        <w:t>Nordamerika</w:t>
      </w:r>
      <w:r w:rsidR="007E39F0" w:rsidRPr="009578ED">
        <w:t xml:space="preserve"> (</w:t>
      </w:r>
      <w:r w:rsidR="00A637C1" w:rsidRPr="009578ED">
        <w:t xml:space="preserve">rund </w:t>
      </w:r>
      <w:r w:rsidR="007E39F0" w:rsidRPr="009578ED">
        <w:t>-</w:t>
      </w:r>
      <w:r w:rsidR="00A637C1" w:rsidRPr="009578ED">
        <w:t>10 Prozent</w:t>
      </w:r>
      <w:r w:rsidR="007E39F0" w:rsidRPr="009578ED">
        <w:t xml:space="preserve">) </w:t>
      </w:r>
      <w:r w:rsidR="00B02597" w:rsidRPr="009578ED">
        <w:t xml:space="preserve">erwiesen sich </w:t>
      </w:r>
      <w:r w:rsidR="00AC5A4C" w:rsidRPr="009578ED">
        <w:t>als schwach</w:t>
      </w:r>
      <w:r w:rsidR="007E39F0" w:rsidRPr="009578ED">
        <w:t xml:space="preserve">. Weltweit verringerte sich die Automobilproduktion </w:t>
      </w:r>
      <w:r w:rsidR="004D3DBC" w:rsidRPr="009578ED">
        <w:t xml:space="preserve">im Berichtszeitraum </w:t>
      </w:r>
      <w:r w:rsidR="007E39F0" w:rsidRPr="009578ED">
        <w:t xml:space="preserve">um </w:t>
      </w:r>
      <w:r w:rsidR="00A637C1" w:rsidRPr="009578ED">
        <w:t xml:space="preserve">rund 25 </w:t>
      </w:r>
      <w:r w:rsidR="0057087C" w:rsidRPr="009578ED">
        <w:t>Prozent</w:t>
      </w:r>
      <w:r w:rsidR="00245907" w:rsidRPr="009578ED">
        <w:t xml:space="preserve"> auf </w:t>
      </w:r>
      <w:r w:rsidR="00C44BBE" w:rsidRPr="009578ED">
        <w:t xml:space="preserve">insgesamt </w:t>
      </w:r>
      <w:r w:rsidR="009F0140" w:rsidRPr="009578ED">
        <w:t>17,3</w:t>
      </w:r>
      <w:r w:rsidR="00272678">
        <w:t> </w:t>
      </w:r>
      <w:r w:rsidR="00245907" w:rsidRPr="009578ED">
        <w:t xml:space="preserve">Millionen </w:t>
      </w:r>
      <w:r w:rsidR="0056441D" w:rsidRPr="009578ED">
        <w:t>Stück</w:t>
      </w:r>
      <w:r w:rsidR="0057087C" w:rsidRPr="009578ED">
        <w:t>.</w:t>
      </w:r>
      <w:r w:rsidR="007E39F0" w:rsidRPr="009578ED">
        <w:t xml:space="preserve"> </w:t>
      </w:r>
      <w:r w:rsidR="00900802" w:rsidRPr="009578ED">
        <w:t xml:space="preserve">In absoluten Zahlen entspricht </w:t>
      </w:r>
      <w:r w:rsidR="004F3922" w:rsidRPr="009578ED">
        <w:t xml:space="preserve">der Rückgang weltweit </w:t>
      </w:r>
      <w:r w:rsidR="009B19D6" w:rsidRPr="009578ED">
        <w:t>rund</w:t>
      </w:r>
      <w:r w:rsidR="00900802" w:rsidRPr="009578ED">
        <w:t xml:space="preserve"> </w:t>
      </w:r>
      <w:r w:rsidR="009B19D6" w:rsidRPr="009578ED">
        <w:t xml:space="preserve">5,7 Millionen </w:t>
      </w:r>
      <w:r w:rsidR="00900802" w:rsidRPr="009578ED">
        <w:t>weniger produzierten Fahrzeugen</w:t>
      </w:r>
      <w:r w:rsidR="004D3DBC" w:rsidRPr="009578ED">
        <w:t xml:space="preserve"> im Vergleich zum Vorjahr</w:t>
      </w:r>
      <w:r w:rsidR="00900802" w:rsidRPr="009578ED">
        <w:t>.</w:t>
      </w:r>
    </w:p>
    <w:p w14:paraId="70E0CA05" w14:textId="090841F0" w:rsidR="006953B4" w:rsidRPr="009578ED" w:rsidRDefault="004D3DBC" w:rsidP="009578ED">
      <w:pPr>
        <w:pStyle w:val="03-Text"/>
      </w:pPr>
      <w:r w:rsidRPr="009578ED">
        <w:t xml:space="preserve">Wie das Technologieunternehmen bereits bei der Vorlage von Kennzahlen zum ersten Quartal am 27. April </w:t>
      </w:r>
      <w:r w:rsidR="00E8635C" w:rsidRPr="009578ED">
        <w:t xml:space="preserve">2020 </w:t>
      </w:r>
      <w:r w:rsidRPr="009578ED">
        <w:t xml:space="preserve">bekannt gegeben hatte, lag der </w:t>
      </w:r>
      <w:r w:rsidRPr="009578ED">
        <w:rPr>
          <w:b/>
          <w:bCs/>
        </w:rPr>
        <w:t>Umsatz</w:t>
      </w:r>
      <w:r w:rsidRPr="009578ED">
        <w:t xml:space="preserve"> bei 9,8 Milliarden Euro (Q1 2019: 11</w:t>
      </w:r>
      <w:r w:rsidR="009F0140" w:rsidRPr="009578ED">
        <w:t> </w:t>
      </w:r>
      <w:r w:rsidRPr="009578ED">
        <w:t xml:space="preserve">Milliarden Euro) und damit </w:t>
      </w:r>
      <w:r w:rsidR="005B218E" w:rsidRPr="009578ED">
        <w:t>10,9</w:t>
      </w:r>
      <w:r w:rsidR="00A637C1" w:rsidRPr="009578ED">
        <w:t xml:space="preserve"> </w:t>
      </w:r>
      <w:r w:rsidRPr="009578ED">
        <w:t xml:space="preserve">Prozent unter dem Vorjahr. Organisch betrachtet, also ohne den Einfluss von Konsolidierungskreis- und Wechselkursveränderungen, ergibt sich ein Rückgang von ebenfalls </w:t>
      </w:r>
      <w:r w:rsidR="005B218E" w:rsidRPr="009578ED">
        <w:t>10,9</w:t>
      </w:r>
      <w:r w:rsidR="00A637C1" w:rsidRPr="009578ED">
        <w:t xml:space="preserve"> </w:t>
      </w:r>
      <w:r w:rsidRPr="009578ED">
        <w:t xml:space="preserve">Prozent. Das </w:t>
      </w:r>
      <w:r w:rsidRPr="009578ED">
        <w:rPr>
          <w:b/>
          <w:bCs/>
        </w:rPr>
        <w:t>bereinigte EBIT</w:t>
      </w:r>
      <w:r w:rsidRPr="009578ED">
        <w:t xml:space="preserve"> ging auf 432 Millionen Euro </w:t>
      </w:r>
      <w:r w:rsidR="00A60C05" w:rsidRPr="009578ED">
        <w:t xml:space="preserve">zurück </w:t>
      </w:r>
      <w:r w:rsidRPr="009578ED">
        <w:t>(Q1</w:t>
      </w:r>
      <w:r w:rsidR="009F0140" w:rsidRPr="009578ED">
        <w:t> </w:t>
      </w:r>
      <w:r w:rsidRPr="009578ED">
        <w:t>2019:</w:t>
      </w:r>
      <w:r w:rsidR="009F0140" w:rsidRPr="009578ED">
        <w:t> </w:t>
      </w:r>
      <w:r w:rsidRPr="009578ED">
        <w:t xml:space="preserve">884 Millionen Euro) und fiel damit rund halb so hoch aus wie im vergleichbaren Vorjahreszeitraum. </w:t>
      </w:r>
      <w:r w:rsidR="008E3BA4" w:rsidRPr="009578ED">
        <w:t>Die bereinigte EBIT-Marge</w:t>
      </w:r>
      <w:r w:rsidRPr="009578ED">
        <w:t xml:space="preserve"> lag bei 4,4 Prozent (Q1 2019: 8,1 Prozent).</w:t>
      </w:r>
    </w:p>
    <w:p w14:paraId="2C3C891E" w14:textId="302403BC" w:rsidR="00A2030B" w:rsidRPr="009578ED" w:rsidRDefault="00A2030B" w:rsidP="009578ED">
      <w:pPr>
        <w:pStyle w:val="03-Text"/>
      </w:pPr>
      <w:r w:rsidRPr="009578ED">
        <w:lastRenderedPageBreak/>
        <w:t xml:space="preserve">Das </w:t>
      </w:r>
      <w:r w:rsidRPr="009578ED">
        <w:rPr>
          <w:b/>
          <w:bCs/>
        </w:rPr>
        <w:t>zweite Quartal</w:t>
      </w:r>
      <w:r w:rsidRPr="009578ED">
        <w:t xml:space="preserve"> wird </w:t>
      </w:r>
      <w:r w:rsidR="008B4E1A" w:rsidRPr="009578ED">
        <w:t xml:space="preserve">für Continental </w:t>
      </w:r>
      <w:r w:rsidRPr="009578ED">
        <w:t>umsatz- und ertragsseitig voraussichtlich das schwächste Quartal des laufenden Geschäftsjahres</w:t>
      </w:r>
      <w:r w:rsidR="0057087C" w:rsidRPr="009578ED">
        <w:t xml:space="preserve"> </w:t>
      </w:r>
      <w:r w:rsidRPr="009578ED">
        <w:t>werden.</w:t>
      </w:r>
      <w:r w:rsidR="0057087C" w:rsidRPr="009578ED">
        <w:t xml:space="preserve"> Grund hierfür </w:t>
      </w:r>
      <w:r w:rsidR="008B4E1A" w:rsidRPr="009578ED">
        <w:t>sind</w:t>
      </w:r>
      <w:r w:rsidR="00AC5A4C" w:rsidRPr="009578ED">
        <w:t xml:space="preserve"> </w:t>
      </w:r>
      <w:r w:rsidR="00B02597" w:rsidRPr="009578ED">
        <w:t>d</w:t>
      </w:r>
      <w:bookmarkStart w:id="0" w:name="_Hlk39481716"/>
      <w:r w:rsidR="00B02597" w:rsidRPr="009578ED">
        <w:t>ie Folgen der Coronavirus-Pandemie</w:t>
      </w:r>
      <w:r w:rsidR="0057087C" w:rsidRPr="009578ED">
        <w:t xml:space="preserve"> </w:t>
      </w:r>
      <w:bookmarkEnd w:id="0"/>
      <w:r w:rsidR="00AC5A4C" w:rsidRPr="009578ED">
        <w:t xml:space="preserve">in </w:t>
      </w:r>
      <w:bookmarkStart w:id="1" w:name="_Hlk39481689"/>
      <w:r w:rsidR="0057087C" w:rsidRPr="009578ED">
        <w:t>Europa und Amerika</w:t>
      </w:r>
      <w:r w:rsidR="008B4E1A" w:rsidRPr="009578ED">
        <w:t>, die sich</w:t>
      </w:r>
      <w:r w:rsidR="00762801" w:rsidRPr="009578ED">
        <w:t xml:space="preserve"> erst </w:t>
      </w:r>
      <w:r w:rsidR="00AC5A4C" w:rsidRPr="009578ED">
        <w:t xml:space="preserve">im zweiten </w:t>
      </w:r>
      <w:r w:rsidR="00762801" w:rsidRPr="009578ED">
        <w:t xml:space="preserve">Quartal </w:t>
      </w:r>
      <w:r w:rsidR="00AC5A4C" w:rsidRPr="009578ED">
        <w:t xml:space="preserve">richtig bemerkbar machen </w:t>
      </w:r>
      <w:bookmarkEnd w:id="1"/>
      <w:r w:rsidR="00B02597" w:rsidRPr="009578ED">
        <w:t>werden</w:t>
      </w:r>
      <w:r w:rsidR="0057087C" w:rsidRPr="009578ED">
        <w:t xml:space="preserve">. </w:t>
      </w:r>
      <w:r w:rsidRPr="009578ED">
        <w:t>„Die finanziellen Auswirkungen</w:t>
      </w:r>
      <w:r w:rsidR="0057087C" w:rsidRPr="009578ED">
        <w:t xml:space="preserve"> der Corona-Pandemie</w:t>
      </w:r>
      <w:r w:rsidRPr="009578ED">
        <w:t xml:space="preserve"> werden</w:t>
      </w:r>
      <w:r w:rsidR="0057087C" w:rsidRPr="009578ED">
        <w:t xml:space="preserve"> </w:t>
      </w:r>
      <w:r w:rsidRPr="009578ED">
        <w:t>im zweiten Quartal</w:t>
      </w:r>
      <w:r w:rsidR="0057087C" w:rsidRPr="009578ED">
        <w:t xml:space="preserve"> noch</w:t>
      </w:r>
      <w:r w:rsidRPr="009578ED">
        <w:t xml:space="preserve"> deutlich spürbarer </w:t>
      </w:r>
      <w:r w:rsidR="00245907" w:rsidRPr="009578ED">
        <w:t>zu Buche schlagen</w:t>
      </w:r>
      <w:r w:rsidR="002609B1" w:rsidRPr="009578ED">
        <w:t xml:space="preserve">. In normalen Zeiten erzielen wir drei Viertel unseres Umsatzes in Europa und </w:t>
      </w:r>
      <w:r w:rsidR="005B218E" w:rsidRPr="009578ED">
        <w:t>Nordamerika</w:t>
      </w:r>
      <w:r w:rsidR="002609B1" w:rsidRPr="009578ED">
        <w:t xml:space="preserve">. Beide Regionen sind </w:t>
      </w:r>
      <w:r w:rsidR="00245907" w:rsidRPr="009578ED">
        <w:t xml:space="preserve">jedoch </w:t>
      </w:r>
      <w:r w:rsidR="005B218E" w:rsidRPr="009578ED">
        <w:t>seit</w:t>
      </w:r>
      <w:r w:rsidR="00A637C1" w:rsidRPr="009578ED">
        <w:t xml:space="preserve"> </w:t>
      </w:r>
      <w:r w:rsidR="005B218E" w:rsidRPr="009578ED">
        <w:t>Ende März</w:t>
      </w:r>
      <w:r w:rsidR="002609B1" w:rsidRPr="009578ED">
        <w:t xml:space="preserve"> stark von d</w:t>
      </w:r>
      <w:r w:rsidR="005B218E" w:rsidRPr="009578ED">
        <w:t>en Folgen der</w:t>
      </w:r>
      <w:r w:rsidR="002609B1" w:rsidRPr="009578ED">
        <w:t xml:space="preserve"> Corona-Pandemie betroffen, während sich</w:t>
      </w:r>
      <w:r w:rsidR="00A637C1" w:rsidRPr="009578ED">
        <w:t xml:space="preserve"> die Automobilproduktion</w:t>
      </w:r>
      <w:r w:rsidR="002609B1" w:rsidRPr="009578ED">
        <w:t xml:space="preserve"> </w:t>
      </w:r>
      <w:r w:rsidR="00A637C1" w:rsidRPr="009578ED">
        <w:t xml:space="preserve">in </w:t>
      </w:r>
      <w:r w:rsidR="002609B1" w:rsidRPr="009578ED">
        <w:t>China wieder stabilisier</w:t>
      </w:r>
      <w:r w:rsidR="00DC3ABD" w:rsidRPr="009578ED">
        <w:t>t</w:t>
      </w:r>
      <w:r w:rsidRPr="009578ED">
        <w:t>“</w:t>
      </w:r>
      <w:r w:rsidR="0057087C" w:rsidRPr="009578ED">
        <w:t>, sagte Dr.</w:t>
      </w:r>
      <w:r w:rsidR="00762801" w:rsidRPr="009578ED">
        <w:t> </w:t>
      </w:r>
      <w:r w:rsidR="0057087C" w:rsidRPr="009578ED">
        <w:t xml:space="preserve">Elmar Degenhart, Vorstandsvorsitzender von Continental. </w:t>
      </w:r>
      <w:r w:rsidRPr="009578ED">
        <w:t xml:space="preserve">Mit Blick auf die derzeitige </w:t>
      </w:r>
      <w:r w:rsidR="00762801" w:rsidRPr="009578ED">
        <w:t>Verteilung</w:t>
      </w:r>
      <w:r w:rsidRPr="009578ED">
        <w:t xml:space="preserve"> unterstrich </w:t>
      </w:r>
      <w:r w:rsidR="00762801" w:rsidRPr="009578ED">
        <w:t>er</w:t>
      </w:r>
      <w:r w:rsidRPr="009578ED">
        <w:t xml:space="preserve"> Continentals Absicht</w:t>
      </w:r>
      <w:r w:rsidR="0057087C" w:rsidRPr="009578ED">
        <w:t>,</w:t>
      </w:r>
      <w:r w:rsidRPr="009578ED">
        <w:t xml:space="preserve"> ihre</w:t>
      </w:r>
      <w:r w:rsidR="00762801" w:rsidRPr="009578ED">
        <w:t xml:space="preserve"> Einnahmen</w:t>
      </w:r>
      <w:r w:rsidR="0057087C" w:rsidRPr="009578ED">
        <w:t xml:space="preserve"> weiter auszubalancieren und</w:t>
      </w:r>
      <w:r w:rsidRPr="009578ED">
        <w:t xml:space="preserve"> </w:t>
      </w:r>
      <w:r w:rsidR="00A5134C" w:rsidRPr="009578ED">
        <w:t xml:space="preserve">ihren Anteil </w:t>
      </w:r>
      <w:r w:rsidRPr="009578ED">
        <w:t>in Asien mittelfristig auf 30 Prozent</w:t>
      </w:r>
      <w:r w:rsidR="00762801" w:rsidRPr="009578ED">
        <w:t xml:space="preserve"> vom Konzernumsatz</w:t>
      </w:r>
      <w:r w:rsidRPr="009578ED">
        <w:t xml:space="preserve"> zu erhöhen.</w:t>
      </w:r>
    </w:p>
    <w:p w14:paraId="252A64BE" w14:textId="2621658F" w:rsidR="00A2030B" w:rsidRPr="009578ED" w:rsidRDefault="00A2030B" w:rsidP="009578ED">
      <w:pPr>
        <w:pStyle w:val="03-Text"/>
      </w:pPr>
      <w:r w:rsidRPr="009578ED">
        <w:t xml:space="preserve">Wie Continental </w:t>
      </w:r>
      <w:r w:rsidR="00762801" w:rsidRPr="009578ED">
        <w:t>Ende April</w:t>
      </w:r>
      <w:r w:rsidRPr="009578ED">
        <w:t xml:space="preserve"> bereits mitgeteilt hatte, ist aufgrund der fortwährenden starken Dynamik der Entwicklung derzeit nicht abzusehen, wann ein </w:t>
      </w:r>
      <w:r w:rsidR="00C32DCE" w:rsidRPr="009578ED">
        <w:t>detaillierter</w:t>
      </w:r>
      <w:r w:rsidRPr="009578ED">
        <w:t xml:space="preserve"> </w:t>
      </w:r>
      <w:r w:rsidRPr="009578ED">
        <w:rPr>
          <w:b/>
          <w:bCs/>
        </w:rPr>
        <w:t>Ausblick</w:t>
      </w:r>
      <w:r w:rsidRPr="009578ED">
        <w:t xml:space="preserve"> für 2020 gegeben werden kann.</w:t>
      </w:r>
      <w:r w:rsidR="00762801" w:rsidRPr="009578ED">
        <w:t xml:space="preserve"> </w:t>
      </w:r>
      <w:r w:rsidRPr="009578ED">
        <w:t xml:space="preserve">Für das Gesamtjahr rechnet </w:t>
      </w:r>
      <w:r w:rsidR="00762801" w:rsidRPr="009578ED">
        <w:t>das D</w:t>
      </w:r>
      <w:r w:rsidR="00A60C05" w:rsidRPr="009578ED">
        <w:t>AX</w:t>
      </w:r>
      <w:r w:rsidR="00762801" w:rsidRPr="009578ED">
        <w:t>-Unternehmen</w:t>
      </w:r>
      <w:r w:rsidRPr="009578ED">
        <w:t xml:space="preserve"> jedoch damit, dass Umsatz und Ertrag deutlich hinter den Vorjahreswerten zurückbleiben.</w:t>
      </w:r>
    </w:p>
    <w:p w14:paraId="61C62B3D" w14:textId="7D06D0AD" w:rsidR="00A62C50" w:rsidRPr="00B23210" w:rsidRDefault="00A62C50" w:rsidP="00A62C50">
      <w:pPr>
        <w:pStyle w:val="04-Subhead"/>
        <w:rPr>
          <w:szCs w:val="22"/>
        </w:rPr>
      </w:pPr>
      <w:r w:rsidRPr="00B23210">
        <w:rPr>
          <w:szCs w:val="22"/>
        </w:rPr>
        <w:t>Kostendisziplin weiter verstärkt</w:t>
      </w:r>
      <w:r w:rsidR="001D1F6B" w:rsidRPr="00B23210">
        <w:rPr>
          <w:szCs w:val="22"/>
        </w:rPr>
        <w:t xml:space="preserve">, </w:t>
      </w:r>
      <w:r w:rsidR="008D5DC9" w:rsidRPr="00B23210">
        <w:rPr>
          <w:szCs w:val="22"/>
        </w:rPr>
        <w:t>Free Cashflow positiv</w:t>
      </w:r>
    </w:p>
    <w:p w14:paraId="0A75A2FF" w14:textId="0343F611" w:rsidR="00A62C50" w:rsidRPr="009578ED" w:rsidRDefault="00A62C50" w:rsidP="009578ED">
      <w:pPr>
        <w:pStyle w:val="03-Text"/>
      </w:pPr>
      <w:r w:rsidRPr="009578ED">
        <w:t xml:space="preserve">Continental hat im ersten Quartal </w:t>
      </w:r>
      <w:r w:rsidR="00B0163B" w:rsidRPr="009578ED">
        <w:t>i</w:t>
      </w:r>
      <w:r w:rsidRPr="009578ED">
        <w:t xml:space="preserve">hre Kostendisziplin nochmals verstärkt. Nicht dringend erforderliche Projekte und Investitionen werden bis auf Weiteres verschoben. </w:t>
      </w:r>
      <w:r w:rsidR="00B0163B" w:rsidRPr="009578ED">
        <w:t xml:space="preserve">Für das laufende Geschäftsjahr strebt das Unternehmen an, seine Investitionen um mindestens 20 Prozent im Vergleich zum Vorjahr zu senken. </w:t>
      </w:r>
      <w:r w:rsidRPr="009578ED">
        <w:t xml:space="preserve">„Das wirtschaftliche Umfeld hat sich seit Anfang März wegen der Corona-Pandemie noch einmal deutlich verschlechtert. </w:t>
      </w:r>
      <w:r w:rsidR="00611116" w:rsidRPr="009578ED">
        <w:t>Wir haben</w:t>
      </w:r>
      <w:r w:rsidR="007F483D" w:rsidRPr="009578ED">
        <w:t xml:space="preserve"> daher</w:t>
      </w:r>
      <w:r w:rsidR="00611116" w:rsidRPr="009578ED">
        <w:t xml:space="preserve"> </w:t>
      </w:r>
      <w:r w:rsidR="00223B46" w:rsidRPr="009578ED">
        <w:t>den Druck</w:t>
      </w:r>
      <w:r w:rsidR="00611116" w:rsidRPr="009578ED">
        <w:t xml:space="preserve"> auf die </w:t>
      </w:r>
      <w:r w:rsidR="00223B46" w:rsidRPr="009578ED">
        <w:t xml:space="preserve">Kostenbremse noch einmal weiter erhöht. </w:t>
      </w:r>
      <w:r w:rsidRPr="009578ED">
        <w:t xml:space="preserve">Die Notwendigkeit aller </w:t>
      </w:r>
      <w:r w:rsidR="00A5134C" w:rsidRPr="009578ED">
        <w:t xml:space="preserve">Ausgaben </w:t>
      </w:r>
      <w:r w:rsidRPr="009578ED">
        <w:t>und Investition</w:t>
      </w:r>
      <w:r w:rsidR="007F483D" w:rsidRPr="009578ED">
        <w:t>en</w:t>
      </w:r>
      <w:r w:rsidRPr="009578ED">
        <w:t xml:space="preserve"> zum jetzigen Zeitpunkt prüfen wir ganz genau. Es geht uns </w:t>
      </w:r>
      <w:r w:rsidR="00EA752B" w:rsidRPr="009578ED">
        <w:t xml:space="preserve">hierbei </w:t>
      </w:r>
      <w:r w:rsidRPr="009578ED">
        <w:t xml:space="preserve">um </w:t>
      </w:r>
      <w:r w:rsidR="00EA752B" w:rsidRPr="009578ED">
        <w:t xml:space="preserve">Einsparungen mit </w:t>
      </w:r>
      <w:r w:rsidR="006F513A" w:rsidRPr="009578ED">
        <w:t>sofortiger</w:t>
      </w:r>
      <w:r w:rsidR="00EA752B" w:rsidRPr="009578ED">
        <w:t xml:space="preserve"> Wirkung. </w:t>
      </w:r>
      <w:r w:rsidRPr="009578ED">
        <w:t xml:space="preserve">In unseren Zahlen wird dies ab dem zweiten Quartal </w:t>
      </w:r>
      <w:r w:rsidR="00EA752B" w:rsidRPr="009578ED">
        <w:t xml:space="preserve">verstärkt </w:t>
      </w:r>
      <w:r w:rsidRPr="009578ED">
        <w:t xml:space="preserve">sichtbar werden. </w:t>
      </w:r>
      <w:r w:rsidR="00EA752B" w:rsidRPr="009578ED">
        <w:t>W</w:t>
      </w:r>
      <w:r w:rsidRPr="009578ED">
        <w:t>ichtige Entwicklungsprojekte sowie Vorbereitungen für bevorstehende Serienanläufe treiben wir mit voller Kraft weiter voran“</w:t>
      </w:r>
      <w:r w:rsidR="00A60C05" w:rsidRPr="009578ED">
        <w:t>,</w:t>
      </w:r>
      <w:r w:rsidRPr="009578ED">
        <w:t xml:space="preserve"> erläuterte </w:t>
      </w:r>
      <w:r w:rsidR="00C77013" w:rsidRPr="009578ED">
        <w:t xml:space="preserve">Wolfgang </w:t>
      </w:r>
      <w:r w:rsidRPr="009578ED">
        <w:t>Schäfer</w:t>
      </w:r>
      <w:r w:rsidR="00C77013" w:rsidRPr="009578ED">
        <w:t>, Finanzvorstand von Continental</w:t>
      </w:r>
      <w:r w:rsidRPr="009578ED">
        <w:t>.</w:t>
      </w:r>
    </w:p>
    <w:p w14:paraId="23D051D9" w14:textId="2BB58B9F" w:rsidR="007472CE" w:rsidRPr="009578ED" w:rsidRDefault="007472CE" w:rsidP="009578ED">
      <w:pPr>
        <w:pStyle w:val="03-Text"/>
      </w:pPr>
      <w:r w:rsidRPr="009578ED">
        <w:t xml:space="preserve">Im Berichtszeitraum verringerten sich die </w:t>
      </w:r>
      <w:r w:rsidRPr="009578ED">
        <w:rPr>
          <w:b/>
          <w:bCs/>
        </w:rPr>
        <w:t>Investitionen</w:t>
      </w:r>
      <w:r w:rsidRPr="009578ED">
        <w:t xml:space="preserve"> in Sachanlagen und Software um 167 Millionen Euro auf 475 Millionen Euro. Bezogen auf den Konzernumsatz lag die Investitionsquote bei 4,8 Prozent (Q1 2019: 5,8 Prozent).</w:t>
      </w:r>
    </w:p>
    <w:p w14:paraId="159AC05C" w14:textId="59FB1D82" w:rsidR="00131365" w:rsidRPr="00B23210" w:rsidRDefault="002C6F18">
      <w:pPr>
        <w:pStyle w:val="03-Text"/>
        <w:rPr>
          <w:rFonts w:cs="Arial"/>
          <w:color w:val="000000"/>
          <w:szCs w:val="22"/>
          <w:shd w:val="clear" w:color="auto" w:fill="FFFFFF"/>
        </w:rPr>
      </w:pPr>
      <w:r w:rsidRPr="00B23210">
        <w:rPr>
          <w:rFonts w:cs="Arial"/>
          <w:color w:val="000000"/>
          <w:shd w:val="clear" w:color="auto" w:fill="FFFFFF"/>
        </w:rPr>
        <w:lastRenderedPageBreak/>
        <w:t xml:space="preserve">Das Kostenmanagement </w:t>
      </w:r>
      <w:r w:rsidR="00F700BD" w:rsidRPr="00B23210">
        <w:rPr>
          <w:rFonts w:cs="Arial"/>
          <w:color w:val="000000"/>
          <w:shd w:val="clear" w:color="auto" w:fill="FFFFFF"/>
        </w:rPr>
        <w:t xml:space="preserve">zeigte im </w:t>
      </w:r>
      <w:r w:rsidR="00F700BD" w:rsidRPr="00B23210">
        <w:rPr>
          <w:rFonts w:cs="Arial"/>
          <w:b/>
          <w:bCs/>
          <w:color w:val="000000"/>
          <w:shd w:val="clear" w:color="auto" w:fill="FFFFFF"/>
        </w:rPr>
        <w:t>Free Cashflow</w:t>
      </w:r>
      <w:r w:rsidR="00F700BD" w:rsidRPr="00B23210">
        <w:rPr>
          <w:rFonts w:cs="Arial"/>
          <w:color w:val="000000"/>
          <w:shd w:val="clear" w:color="auto" w:fill="FFFFFF"/>
        </w:rPr>
        <w:t xml:space="preserve"> </w:t>
      </w:r>
      <w:r w:rsidR="001C5652" w:rsidRPr="00B23210">
        <w:rPr>
          <w:szCs w:val="22"/>
        </w:rPr>
        <w:t xml:space="preserve">vor Akquisitionen und Carve-out Effekten </w:t>
      </w:r>
      <w:r w:rsidR="00A21990" w:rsidRPr="00B23210">
        <w:rPr>
          <w:rFonts w:cs="Arial"/>
          <w:color w:val="000000"/>
          <w:shd w:val="clear" w:color="auto" w:fill="FFFFFF"/>
        </w:rPr>
        <w:t xml:space="preserve">bereits positive </w:t>
      </w:r>
      <w:r w:rsidR="001C5652" w:rsidRPr="00B23210">
        <w:rPr>
          <w:rFonts w:cs="Arial"/>
          <w:color w:val="000000"/>
          <w:shd w:val="clear" w:color="auto" w:fill="FFFFFF"/>
        </w:rPr>
        <w:t xml:space="preserve">Wirkung: </w:t>
      </w:r>
      <w:r w:rsidR="001C5652" w:rsidRPr="00B23210">
        <w:t xml:space="preserve">Er </w:t>
      </w:r>
      <w:r w:rsidR="001C5652" w:rsidRPr="00B23210">
        <w:rPr>
          <w:szCs w:val="22"/>
        </w:rPr>
        <w:t xml:space="preserve">lag im ersten Quartal bei 59 Millionen Euro und übertraf damit den Vorjahreswert (-580 Millionen Euro) deutlich. </w:t>
      </w:r>
      <w:r w:rsidR="00131365" w:rsidRPr="00B23210">
        <w:rPr>
          <w:rFonts w:cs="Arial"/>
          <w:color w:val="000000"/>
          <w:szCs w:val="22"/>
          <w:shd w:val="clear" w:color="auto" w:fill="FFFFFF"/>
        </w:rPr>
        <w:t>„Wir haben im ersten Quartal einen positiven Free Cashflow erreicht. Das ist ein Beleg für unser schnell wirksames Krisenmanagement. Saisonal bedingt ist der Free Cashflow im ersten Quartal für gewöhnlich negativ“</w:t>
      </w:r>
      <w:r w:rsidR="006F513A" w:rsidRPr="00B23210">
        <w:rPr>
          <w:rFonts w:cs="Arial"/>
          <w:color w:val="000000"/>
          <w:szCs w:val="22"/>
          <w:shd w:val="clear" w:color="auto" w:fill="FFFFFF"/>
        </w:rPr>
        <w:t>,</w:t>
      </w:r>
      <w:r w:rsidR="00131365" w:rsidRPr="00B23210">
        <w:rPr>
          <w:rFonts w:cs="Arial"/>
          <w:color w:val="000000"/>
          <w:szCs w:val="22"/>
          <w:shd w:val="clear" w:color="auto" w:fill="FFFFFF"/>
        </w:rPr>
        <w:t xml:space="preserve"> sagte Schäfer.</w:t>
      </w:r>
      <w:r w:rsidR="00376AD4" w:rsidRPr="00B23210">
        <w:rPr>
          <w:rFonts w:cs="Arial"/>
          <w:color w:val="000000"/>
          <w:szCs w:val="22"/>
          <w:shd w:val="clear" w:color="auto" w:fill="FFFFFF"/>
        </w:rPr>
        <w:t xml:space="preserve"> So resultiert die Verbesserung im Wesentlichen aus </w:t>
      </w:r>
      <w:r w:rsidR="00112873" w:rsidRPr="00B23210">
        <w:rPr>
          <w:rFonts w:cs="Arial"/>
          <w:color w:val="000000"/>
          <w:szCs w:val="22"/>
          <w:shd w:val="clear" w:color="auto" w:fill="FFFFFF"/>
        </w:rPr>
        <w:t xml:space="preserve">geringeren </w:t>
      </w:r>
      <w:r w:rsidR="00376AD4" w:rsidRPr="00B23210">
        <w:rPr>
          <w:rFonts w:cs="Arial"/>
          <w:color w:val="000000"/>
          <w:szCs w:val="22"/>
          <w:shd w:val="clear" w:color="auto" w:fill="FFFFFF"/>
        </w:rPr>
        <w:t xml:space="preserve">Auszahlungen im Bereich des Working Capitals, </w:t>
      </w:r>
      <w:r w:rsidR="001D1F6B" w:rsidRPr="00B23210">
        <w:rPr>
          <w:rFonts w:cs="Arial"/>
          <w:color w:val="000000"/>
          <w:szCs w:val="22"/>
          <w:shd w:val="clear" w:color="auto" w:fill="FFFFFF"/>
        </w:rPr>
        <w:t xml:space="preserve">reduzierten Investitionen und dem </w:t>
      </w:r>
      <w:r w:rsidR="00376AD4" w:rsidRPr="00B23210">
        <w:rPr>
          <w:rFonts w:cs="Arial"/>
          <w:color w:val="000000"/>
          <w:szCs w:val="22"/>
          <w:shd w:val="clear" w:color="auto" w:fill="FFFFFF"/>
        </w:rPr>
        <w:t>Zahlungseingang aus dem Verkauf des 50-Prozent-Anteils an der SAS Autosystemtechnik GmbH.</w:t>
      </w:r>
    </w:p>
    <w:p w14:paraId="3D28284C" w14:textId="49F8EBF8" w:rsidR="004D570A" w:rsidRPr="00B23210" w:rsidRDefault="00A62C50">
      <w:pPr>
        <w:pStyle w:val="03-Text"/>
        <w:rPr>
          <w:szCs w:val="22"/>
        </w:rPr>
      </w:pPr>
      <w:r w:rsidRPr="00B23210">
        <w:rPr>
          <w:szCs w:val="22"/>
        </w:rPr>
        <w:t xml:space="preserve">Die Ausgaben für </w:t>
      </w:r>
      <w:r w:rsidRPr="00B23210">
        <w:rPr>
          <w:b/>
          <w:bCs/>
          <w:szCs w:val="22"/>
        </w:rPr>
        <w:t>Forschung und Entwicklung</w:t>
      </w:r>
      <w:r w:rsidRPr="00B23210">
        <w:rPr>
          <w:szCs w:val="22"/>
        </w:rPr>
        <w:t xml:space="preserve"> lagen im ersten Quartal bei 913 Millionen Euro. Mit Blick auf den Konzernumsatz erg</w:t>
      </w:r>
      <w:r w:rsidR="00112873" w:rsidRPr="00B23210">
        <w:rPr>
          <w:szCs w:val="22"/>
        </w:rPr>
        <w:t>ab</w:t>
      </w:r>
      <w:r w:rsidRPr="00B23210">
        <w:rPr>
          <w:szCs w:val="22"/>
        </w:rPr>
        <w:t xml:space="preserve"> sich </w:t>
      </w:r>
      <w:r w:rsidR="00112873" w:rsidRPr="00B23210">
        <w:rPr>
          <w:szCs w:val="22"/>
        </w:rPr>
        <w:t xml:space="preserve">damit </w:t>
      </w:r>
      <w:r w:rsidRPr="00B23210">
        <w:rPr>
          <w:szCs w:val="22"/>
        </w:rPr>
        <w:t>eine Quote von 9,3 Prozent. Im vergleichbaren Vorjahreszeitraum hatte sie noch bei 8,2 Prozent gelegen. Hintergrund für den Anstieg ist vor allem der in Folge der Corona-Pandemie gesunkene Umsatz im ersten Quartal 2020.</w:t>
      </w:r>
    </w:p>
    <w:p w14:paraId="33A00B48" w14:textId="2DD3D220" w:rsidR="00BA47C0" w:rsidRPr="00B23210" w:rsidRDefault="006C26E8" w:rsidP="00AE0435">
      <w:pPr>
        <w:pStyle w:val="04-Subhead"/>
        <w:rPr>
          <w:szCs w:val="22"/>
        </w:rPr>
      </w:pPr>
      <w:r w:rsidRPr="00B23210">
        <w:rPr>
          <w:szCs w:val="22"/>
        </w:rPr>
        <w:t>Weiter h</w:t>
      </w:r>
      <w:r w:rsidR="00BA47C0" w:rsidRPr="00B23210">
        <w:rPr>
          <w:szCs w:val="22"/>
        </w:rPr>
        <w:t xml:space="preserve">ohe </w:t>
      </w:r>
      <w:r w:rsidR="008E3BA4" w:rsidRPr="00B23210">
        <w:rPr>
          <w:szCs w:val="22"/>
        </w:rPr>
        <w:t>Liquidität</w:t>
      </w:r>
      <w:r w:rsidRPr="00B23210">
        <w:rPr>
          <w:szCs w:val="22"/>
        </w:rPr>
        <w:t xml:space="preserve"> </w:t>
      </w:r>
      <w:r w:rsidR="000136E4" w:rsidRPr="00B23210">
        <w:rPr>
          <w:szCs w:val="22"/>
        </w:rPr>
        <w:t>nach Abschluss des ersten Quartals</w:t>
      </w:r>
    </w:p>
    <w:p w14:paraId="17718B7A" w14:textId="14E6879E" w:rsidR="001E5172" w:rsidRPr="00B23210" w:rsidRDefault="006101F4" w:rsidP="002C4773">
      <w:pPr>
        <w:pStyle w:val="03-Text"/>
        <w:rPr>
          <w:szCs w:val="22"/>
        </w:rPr>
      </w:pPr>
      <w:r w:rsidRPr="00B23210">
        <w:rPr>
          <w:szCs w:val="22"/>
        </w:rPr>
        <w:t xml:space="preserve">Zum Stichtag 31. März 2020 verfügte Continental über </w:t>
      </w:r>
      <w:r w:rsidR="00E76489" w:rsidRPr="00B23210">
        <w:rPr>
          <w:szCs w:val="22"/>
        </w:rPr>
        <w:t xml:space="preserve">flüssige Mittel </w:t>
      </w:r>
      <w:r w:rsidRPr="00B23210">
        <w:rPr>
          <w:szCs w:val="22"/>
        </w:rPr>
        <w:t>in Höhe von 2,5 Milliarden</w:t>
      </w:r>
      <w:r w:rsidR="009F0140" w:rsidRPr="00B23210">
        <w:rPr>
          <w:szCs w:val="22"/>
        </w:rPr>
        <w:t> </w:t>
      </w:r>
      <w:r w:rsidRPr="00B23210">
        <w:rPr>
          <w:szCs w:val="22"/>
        </w:rPr>
        <w:t xml:space="preserve">Euro sowie zugesagten, nicht ausgenutzten Kreditlinien </w:t>
      </w:r>
      <w:r w:rsidR="00A60C05" w:rsidRPr="00B23210">
        <w:rPr>
          <w:szCs w:val="22"/>
        </w:rPr>
        <w:t>i</w:t>
      </w:r>
      <w:r w:rsidRPr="00B23210">
        <w:rPr>
          <w:szCs w:val="22"/>
        </w:rPr>
        <w:t>n Höhe von 4,3</w:t>
      </w:r>
      <w:r w:rsidR="00762801" w:rsidRPr="00B23210">
        <w:rPr>
          <w:szCs w:val="22"/>
        </w:rPr>
        <w:t> </w:t>
      </w:r>
      <w:r w:rsidRPr="00B23210">
        <w:rPr>
          <w:szCs w:val="22"/>
        </w:rPr>
        <w:t>Milliarden</w:t>
      </w:r>
      <w:r w:rsidR="009F0140" w:rsidRPr="00B23210">
        <w:rPr>
          <w:szCs w:val="22"/>
        </w:rPr>
        <w:t> </w:t>
      </w:r>
      <w:r w:rsidRPr="00B23210">
        <w:rPr>
          <w:szCs w:val="22"/>
        </w:rPr>
        <w:t xml:space="preserve">Euro. </w:t>
      </w:r>
      <w:r w:rsidR="00A2030B" w:rsidRPr="00B23210">
        <w:rPr>
          <w:szCs w:val="22"/>
        </w:rPr>
        <w:t xml:space="preserve">„Bilanziell ist Continental mit einer </w:t>
      </w:r>
      <w:r w:rsidR="00A2030B" w:rsidRPr="00B23210">
        <w:rPr>
          <w:b/>
          <w:bCs/>
          <w:szCs w:val="22"/>
        </w:rPr>
        <w:t>Liquidität</w:t>
      </w:r>
      <w:r w:rsidR="00A2030B" w:rsidRPr="00B23210">
        <w:rPr>
          <w:szCs w:val="22"/>
        </w:rPr>
        <w:t xml:space="preserve"> von </w:t>
      </w:r>
      <w:r w:rsidR="00E76489" w:rsidRPr="00B23210">
        <w:rPr>
          <w:szCs w:val="22"/>
        </w:rPr>
        <w:t>6,8</w:t>
      </w:r>
      <w:r w:rsidR="00762801" w:rsidRPr="00B23210">
        <w:rPr>
          <w:szCs w:val="22"/>
        </w:rPr>
        <w:t> </w:t>
      </w:r>
      <w:r w:rsidR="00A2030B" w:rsidRPr="00B23210">
        <w:rPr>
          <w:szCs w:val="22"/>
        </w:rPr>
        <w:t>Milliarden Euro sehr gut aufgestellt. Wir stehen auf einer soliden Basis, sind unabhängig und voll handlungsfähig, trotz der herausfordernden Situation weltweit“</w:t>
      </w:r>
      <w:r w:rsidR="00DA2B91">
        <w:rPr>
          <w:szCs w:val="22"/>
        </w:rPr>
        <w:t>,</w:t>
      </w:r>
      <w:r w:rsidRPr="00B23210">
        <w:rPr>
          <w:szCs w:val="22"/>
        </w:rPr>
        <w:t xml:space="preserve"> </w:t>
      </w:r>
      <w:r w:rsidR="008876FA" w:rsidRPr="00B23210">
        <w:rPr>
          <w:szCs w:val="22"/>
        </w:rPr>
        <w:t>unterstrich</w:t>
      </w:r>
      <w:r w:rsidRPr="00B23210">
        <w:rPr>
          <w:szCs w:val="22"/>
        </w:rPr>
        <w:t xml:space="preserve"> Degenhart.</w:t>
      </w:r>
    </w:p>
    <w:p w14:paraId="7170CD8C" w14:textId="216E4942" w:rsidR="002C4773" w:rsidRPr="00B23210" w:rsidRDefault="002C4773" w:rsidP="002C4773">
      <w:pPr>
        <w:pStyle w:val="04-Subhead"/>
        <w:rPr>
          <w:szCs w:val="22"/>
        </w:rPr>
      </w:pPr>
      <w:r w:rsidRPr="00B23210">
        <w:rPr>
          <w:szCs w:val="22"/>
        </w:rPr>
        <w:t>Strukturprogramm „Transformation 2019</w:t>
      </w:r>
      <w:r w:rsidR="00131176" w:rsidRPr="00B23210">
        <w:rPr>
          <w:szCs w:val="22"/>
        </w:rPr>
        <w:t>–</w:t>
      </w:r>
      <w:r w:rsidRPr="00B23210">
        <w:rPr>
          <w:szCs w:val="22"/>
        </w:rPr>
        <w:t>2029“ wird konsequent weiterverfolgt</w:t>
      </w:r>
    </w:p>
    <w:p w14:paraId="0F8A72B7" w14:textId="6F2DE054" w:rsidR="002C4773" w:rsidRPr="00B23210" w:rsidRDefault="002C4773" w:rsidP="002C4773">
      <w:pPr>
        <w:pStyle w:val="03-Text"/>
        <w:rPr>
          <w:szCs w:val="22"/>
        </w:rPr>
      </w:pPr>
      <w:r w:rsidRPr="00B23210">
        <w:rPr>
          <w:szCs w:val="22"/>
        </w:rPr>
        <w:t>Unabhängig von den derzeitigen Marktgegebenheiten treibt Continental ihr Strukturprogramm „Transformation 2019–</w:t>
      </w:r>
      <w:bookmarkStart w:id="2" w:name="_GoBack"/>
      <w:bookmarkEnd w:id="2"/>
      <w:r w:rsidRPr="00B23210">
        <w:rPr>
          <w:szCs w:val="22"/>
        </w:rPr>
        <w:t>20</w:t>
      </w:r>
      <w:r w:rsidR="00A60C05" w:rsidRPr="00B23210">
        <w:rPr>
          <w:szCs w:val="22"/>
        </w:rPr>
        <w:t>29</w:t>
      </w:r>
      <w:r w:rsidRPr="00B23210">
        <w:rPr>
          <w:szCs w:val="22"/>
        </w:rPr>
        <w:t>“ und dessen Umsetzung konsequent weiter voran. „</w:t>
      </w:r>
      <w:r w:rsidRPr="00B23210">
        <w:rPr>
          <w:rFonts w:cs="Arial"/>
          <w:color w:val="000000"/>
          <w:szCs w:val="22"/>
          <w:shd w:val="clear" w:color="auto" w:fill="FFFFFF"/>
        </w:rPr>
        <w:t xml:space="preserve">Mit unserem Strukturprogramm stärken wir unsere dauerhafte Wettbewerbs- und Zukunftsfähigkeit. Hierbei geht es nachhaltige Einsparungen, die mittel- und langfristig Wirkung zeigen“, sagte Degenhart. </w:t>
      </w:r>
      <w:r w:rsidRPr="00B23210">
        <w:rPr>
          <w:szCs w:val="22"/>
        </w:rPr>
        <w:t>Wie Anfang März angekündigt, werden derzeit angesichts der sich zunehmend und möglicherweise mittelfristig verschlechternden Märkte weitere Maßnahmen geprüft. Diese wird Continental zu gegebener Zeit kommunizieren.</w:t>
      </w:r>
    </w:p>
    <w:p w14:paraId="52EE1069" w14:textId="1076093C" w:rsidR="00B1655B" w:rsidRPr="00B23210" w:rsidRDefault="00B1655B" w:rsidP="00096181">
      <w:pPr>
        <w:pStyle w:val="04-Subhead"/>
        <w:rPr>
          <w:rFonts w:cs="Arial"/>
          <w:szCs w:val="22"/>
          <w:lang w:bidi="de-DE"/>
        </w:rPr>
      </w:pPr>
      <w:r w:rsidRPr="00B23210">
        <w:rPr>
          <w:rFonts w:cs="Arial"/>
          <w:szCs w:val="22"/>
          <w:lang w:bidi="de-DE"/>
        </w:rPr>
        <w:lastRenderedPageBreak/>
        <w:t>Kennzahlen Continental Group</w:t>
      </w:r>
    </w:p>
    <w:tbl>
      <w:tblPr>
        <w:tblOverlap w:val="never"/>
        <w:tblW w:w="9466" w:type="dxa"/>
        <w:tblLayout w:type="fixed"/>
        <w:tblCellMar>
          <w:left w:w="0" w:type="dxa"/>
          <w:right w:w="0" w:type="dxa"/>
        </w:tblCellMar>
        <w:tblLook w:val="04A0" w:firstRow="1" w:lastRow="0" w:firstColumn="1" w:lastColumn="0" w:noHBand="0" w:noVBand="1"/>
        <w:tblDescription w:val="_FLink_1T_f7SJdSfnÄwKCFkbHa2_1&#10;_FLink_1T_oUoxyW3VülZNÄDMcuk_1"/>
      </w:tblPr>
      <w:tblGrid>
        <w:gridCol w:w="5812"/>
        <w:gridCol w:w="1218"/>
        <w:gridCol w:w="58"/>
        <w:gridCol w:w="1160"/>
        <w:gridCol w:w="116"/>
        <w:gridCol w:w="1102"/>
      </w:tblGrid>
      <w:tr w:rsidR="00DE3FFE" w:rsidRPr="00B23210" w14:paraId="5F69E4AB" w14:textId="1BAF8290" w:rsidTr="00BB29F3">
        <w:trPr>
          <w:trHeight w:val="361"/>
        </w:trPr>
        <w:tc>
          <w:tcPr>
            <w:tcW w:w="5812" w:type="dxa"/>
            <w:tcBorders>
              <w:top w:val="single" w:sz="6" w:space="0" w:color="000000"/>
              <w:left w:val="none" w:sz="0" w:space="0" w:color="000000"/>
              <w:bottom w:val="none" w:sz="0" w:space="0" w:color="000000"/>
              <w:right w:val="none" w:sz="0" w:space="0" w:color="000000"/>
            </w:tcBorders>
            <w:shd w:val="clear" w:color="auto" w:fill="FFFFFF"/>
            <w:vAlign w:val="bottom"/>
          </w:tcPr>
          <w:p w14:paraId="11F87F63" w14:textId="77777777" w:rsidR="00DE3FFE" w:rsidRPr="00B23210" w:rsidRDefault="00DE3FFE" w:rsidP="00725F48">
            <w:pPr>
              <w:pStyle w:val="THeadfirstText"/>
              <w:rPr>
                <w:rFonts w:ascii="Arial" w:hAnsi="Arial" w:cs="Arial"/>
              </w:rPr>
            </w:pPr>
            <w:bookmarkStart w:id="3" w:name="_FLink_1T_f7SJdSfnÄwKCFkbHa2_1"/>
            <w:bookmarkStart w:id="4" w:name="_FLink_1T_oUoxyW3VülZNÄDMcuk_1"/>
            <w:r w:rsidRPr="00B23210">
              <w:rPr>
                <w:rFonts w:ascii="Arial" w:hAnsi="Arial" w:cs="Arial"/>
              </w:rPr>
              <w:t> </w:t>
            </w:r>
          </w:p>
        </w:tc>
        <w:tc>
          <w:tcPr>
            <w:tcW w:w="3654" w:type="dxa"/>
            <w:gridSpan w:val="5"/>
            <w:tcBorders>
              <w:top w:val="single" w:sz="6" w:space="0" w:color="000000"/>
              <w:left w:val="none" w:sz="0" w:space="0" w:color="000000"/>
              <w:bottom w:val="single" w:sz="6" w:space="0" w:color="000000"/>
              <w:right w:val="none" w:sz="0" w:space="0" w:color="000000"/>
            </w:tcBorders>
            <w:shd w:val="clear" w:color="auto" w:fill="FFFFFF"/>
            <w:vAlign w:val="bottom"/>
          </w:tcPr>
          <w:p w14:paraId="37309BCA" w14:textId="4F5867D1" w:rsidR="00DE3FFE" w:rsidRPr="00B23210" w:rsidRDefault="00DE3FFE" w:rsidP="00725F48">
            <w:pPr>
              <w:pStyle w:val="THeadfirstNumber"/>
              <w:jc w:val="center"/>
              <w:rPr>
                <w:rFonts w:ascii="Arial" w:hAnsi="Arial" w:cs="Arial"/>
              </w:rPr>
            </w:pPr>
            <w:r w:rsidRPr="00B23210">
              <w:rPr>
                <w:rFonts w:ascii="Arial" w:hAnsi="Arial" w:cs="Arial"/>
              </w:rPr>
              <w:t>1. Januar bis 31. März</w:t>
            </w:r>
          </w:p>
        </w:tc>
      </w:tr>
      <w:tr w:rsidR="00836682" w:rsidRPr="00B23210" w14:paraId="085DF1F6" w14:textId="39744AE8" w:rsidTr="00BB29F3">
        <w:trPr>
          <w:trHeight w:val="247"/>
        </w:trPr>
        <w:tc>
          <w:tcPr>
            <w:tcW w:w="5812" w:type="dxa"/>
            <w:tcBorders>
              <w:top w:val="none" w:sz="0" w:space="0" w:color="000000"/>
              <w:left w:val="none" w:sz="0" w:space="0" w:color="000000"/>
              <w:bottom w:val="single" w:sz="6" w:space="0" w:color="000000"/>
              <w:right w:val="none" w:sz="0" w:space="0" w:color="000000"/>
            </w:tcBorders>
            <w:shd w:val="clear" w:color="auto" w:fill="FFFFFF"/>
            <w:vAlign w:val="bottom"/>
          </w:tcPr>
          <w:p w14:paraId="7C764E42" w14:textId="77777777" w:rsidR="00836682" w:rsidRPr="00B23210" w:rsidRDefault="00836682" w:rsidP="00725F48">
            <w:pPr>
              <w:pStyle w:val="THeadlastText"/>
              <w:rPr>
                <w:rFonts w:ascii="Arial" w:hAnsi="Arial" w:cs="Arial"/>
                <w:b/>
                <w:bCs/>
              </w:rPr>
            </w:pPr>
            <w:r w:rsidRPr="00B23210">
              <w:rPr>
                <w:rFonts w:ascii="Arial" w:hAnsi="Arial" w:cs="Arial"/>
                <w:b/>
                <w:bCs/>
              </w:rPr>
              <w:t>Mio</w:t>
            </w:r>
            <w:r w:rsidRPr="00B23210">
              <w:rPr>
                <w:rFonts w:ascii="Arial" w:hAnsi="Arial" w:cs="Arial"/>
                <w:b/>
                <w:bCs/>
                <w:sz w:val="8"/>
              </w:rPr>
              <w:t> </w:t>
            </w:r>
            <w:r w:rsidRPr="00B23210">
              <w:rPr>
                <w:rFonts w:ascii="Arial" w:hAnsi="Arial" w:cs="Arial"/>
                <w:b/>
                <w:bCs/>
              </w:rPr>
              <w:t>€</w:t>
            </w:r>
          </w:p>
        </w:tc>
        <w:tc>
          <w:tcPr>
            <w:tcW w:w="1218" w:type="dxa"/>
            <w:tcBorders>
              <w:top w:val="single" w:sz="6" w:space="0" w:color="000000"/>
              <w:left w:val="none" w:sz="0" w:space="0" w:color="000000"/>
              <w:bottom w:val="single" w:sz="6" w:space="0" w:color="000000"/>
              <w:right w:val="none" w:sz="0" w:space="0" w:color="000000"/>
            </w:tcBorders>
            <w:shd w:val="clear" w:color="auto" w:fill="FFFFFF"/>
            <w:vAlign w:val="bottom"/>
          </w:tcPr>
          <w:p w14:paraId="61A52785" w14:textId="77777777" w:rsidR="00836682" w:rsidRPr="00B23210" w:rsidRDefault="00836682" w:rsidP="00725F48">
            <w:pPr>
              <w:pStyle w:val="THeadlastNumber"/>
              <w:rPr>
                <w:rFonts w:ascii="Arial" w:hAnsi="Arial" w:cs="Arial"/>
              </w:rPr>
            </w:pPr>
            <w:r w:rsidRPr="00B23210">
              <w:rPr>
                <w:rFonts w:ascii="Arial" w:hAnsi="Arial" w:cs="Arial"/>
              </w:rPr>
              <w:t>2020</w:t>
            </w:r>
          </w:p>
        </w:tc>
        <w:tc>
          <w:tcPr>
            <w:tcW w:w="1218" w:type="dxa"/>
            <w:gridSpan w:val="2"/>
            <w:tcBorders>
              <w:top w:val="single" w:sz="6" w:space="0" w:color="000000"/>
              <w:left w:val="none" w:sz="0" w:space="0" w:color="000000"/>
              <w:bottom w:val="single" w:sz="6" w:space="0" w:color="000000"/>
              <w:right w:val="none" w:sz="0" w:space="0" w:color="000000"/>
            </w:tcBorders>
            <w:shd w:val="clear" w:color="auto" w:fill="FFFFFF"/>
            <w:vAlign w:val="bottom"/>
          </w:tcPr>
          <w:p w14:paraId="17EA08BD" w14:textId="77777777" w:rsidR="00836682" w:rsidRPr="00B23210" w:rsidRDefault="00836682" w:rsidP="00725F48">
            <w:pPr>
              <w:pStyle w:val="THeadlastNumber"/>
              <w:rPr>
                <w:rFonts w:ascii="Arial" w:hAnsi="Arial" w:cs="Arial"/>
              </w:rPr>
            </w:pPr>
            <w:r w:rsidRPr="00B23210">
              <w:rPr>
                <w:rFonts w:ascii="Arial" w:hAnsi="Arial" w:cs="Arial"/>
              </w:rPr>
              <w:t>2019</w:t>
            </w:r>
          </w:p>
        </w:tc>
        <w:tc>
          <w:tcPr>
            <w:tcW w:w="1218" w:type="dxa"/>
            <w:gridSpan w:val="2"/>
            <w:tcBorders>
              <w:top w:val="single" w:sz="6" w:space="0" w:color="000000"/>
              <w:left w:val="none" w:sz="0" w:space="0" w:color="000000"/>
              <w:bottom w:val="single" w:sz="6" w:space="0" w:color="000000"/>
              <w:right w:val="none" w:sz="0" w:space="0" w:color="000000"/>
            </w:tcBorders>
            <w:shd w:val="clear" w:color="auto" w:fill="FFFFFF"/>
          </w:tcPr>
          <w:p w14:paraId="3D6A77A7" w14:textId="1EE5FB03" w:rsidR="00836682" w:rsidRPr="00B23210" w:rsidRDefault="00DE3FFE" w:rsidP="001B6B3B">
            <w:pPr>
              <w:pStyle w:val="THeadlastNumber"/>
              <w:rPr>
                <w:rFonts w:ascii="Arial" w:hAnsi="Arial" w:cs="Arial"/>
              </w:rPr>
            </w:pPr>
            <w:r w:rsidRPr="00B23210">
              <w:rPr>
                <w:rFonts w:ascii="Arial" w:hAnsi="Arial" w:cs="Arial"/>
                <w:lang w:eastAsia="de-DE" w:bidi="de-DE"/>
              </w:rPr>
              <w:t>Δ in %</w:t>
            </w:r>
          </w:p>
        </w:tc>
      </w:tr>
      <w:tr w:rsidR="0076251F" w:rsidRPr="00B23210" w14:paraId="2FBEB618" w14:textId="56378D4B" w:rsidTr="00BB29F3">
        <w:trPr>
          <w:trHeight w:val="247"/>
        </w:trPr>
        <w:tc>
          <w:tcPr>
            <w:tcW w:w="5812" w:type="dxa"/>
            <w:tcBorders>
              <w:top w:val="single" w:sz="6" w:space="0" w:color="000000"/>
              <w:left w:val="none" w:sz="0" w:space="0" w:color="000000"/>
              <w:bottom w:val="single" w:sz="4" w:space="0" w:color="727373"/>
              <w:right w:val="none" w:sz="0" w:space="0" w:color="000000"/>
            </w:tcBorders>
            <w:shd w:val="clear" w:color="auto" w:fill="FFFFFF"/>
            <w:vAlign w:val="bottom"/>
          </w:tcPr>
          <w:p w14:paraId="17181FCB" w14:textId="77777777" w:rsidR="0076251F" w:rsidRPr="00B23210" w:rsidRDefault="0076251F" w:rsidP="0076251F">
            <w:pPr>
              <w:pStyle w:val="TBodynormalText"/>
              <w:rPr>
                <w:rFonts w:ascii="Arial" w:hAnsi="Arial" w:cs="Arial"/>
              </w:rPr>
            </w:pPr>
            <w:r w:rsidRPr="00B23210">
              <w:rPr>
                <w:rFonts w:ascii="Arial" w:hAnsi="Arial" w:cs="Arial"/>
              </w:rPr>
              <w:t>Umsatz</w:t>
            </w:r>
          </w:p>
        </w:tc>
        <w:tc>
          <w:tcPr>
            <w:tcW w:w="1218" w:type="dxa"/>
            <w:tcBorders>
              <w:top w:val="single" w:sz="6" w:space="0" w:color="000000"/>
              <w:left w:val="none" w:sz="0" w:space="0" w:color="000000"/>
              <w:bottom w:val="single" w:sz="4" w:space="0" w:color="727373"/>
              <w:right w:val="none" w:sz="0" w:space="0" w:color="000000"/>
            </w:tcBorders>
            <w:shd w:val="clear" w:color="auto" w:fill="F0F0F1"/>
            <w:vAlign w:val="bottom"/>
          </w:tcPr>
          <w:p w14:paraId="138875C8" w14:textId="77777777" w:rsidR="0076251F" w:rsidRPr="00B23210" w:rsidRDefault="0076251F" w:rsidP="0076251F">
            <w:pPr>
              <w:pStyle w:val="TBodynormalNumber"/>
              <w:rPr>
                <w:rFonts w:ascii="Arial" w:hAnsi="Arial" w:cs="Arial"/>
              </w:rPr>
            </w:pPr>
            <w:r w:rsidRPr="00B23210">
              <w:rPr>
                <w:rFonts w:ascii="Arial" w:hAnsi="Arial" w:cs="Arial"/>
              </w:rPr>
              <w:t>9.844,0</w:t>
            </w:r>
          </w:p>
        </w:tc>
        <w:tc>
          <w:tcPr>
            <w:tcW w:w="1218" w:type="dxa"/>
            <w:gridSpan w:val="2"/>
            <w:tcBorders>
              <w:top w:val="single" w:sz="6" w:space="0" w:color="000000"/>
              <w:left w:val="none" w:sz="0" w:space="0" w:color="000000"/>
              <w:bottom w:val="single" w:sz="4" w:space="0" w:color="727373"/>
              <w:right w:val="none" w:sz="0" w:space="0" w:color="000000"/>
            </w:tcBorders>
            <w:shd w:val="clear" w:color="auto" w:fill="FFFFFF"/>
            <w:vAlign w:val="bottom"/>
          </w:tcPr>
          <w:p w14:paraId="751B349F" w14:textId="77777777" w:rsidR="0076251F" w:rsidRPr="00B23210" w:rsidRDefault="0076251F" w:rsidP="0076251F">
            <w:pPr>
              <w:pStyle w:val="TBodynormalNumber"/>
              <w:rPr>
                <w:rFonts w:ascii="Arial" w:hAnsi="Arial" w:cs="Arial"/>
              </w:rPr>
            </w:pPr>
            <w:r w:rsidRPr="00B23210">
              <w:rPr>
                <w:rFonts w:ascii="Arial" w:hAnsi="Arial" w:cs="Arial"/>
              </w:rPr>
              <w:t>11.046,7</w:t>
            </w:r>
          </w:p>
        </w:tc>
        <w:tc>
          <w:tcPr>
            <w:tcW w:w="1218" w:type="dxa"/>
            <w:gridSpan w:val="2"/>
            <w:tcBorders>
              <w:top w:val="single" w:sz="6" w:space="0" w:color="000000"/>
              <w:left w:val="none" w:sz="0" w:space="0" w:color="000000"/>
              <w:bottom w:val="single" w:sz="4" w:space="0" w:color="727373"/>
              <w:right w:val="none" w:sz="0" w:space="0" w:color="000000"/>
            </w:tcBorders>
            <w:shd w:val="clear" w:color="auto" w:fill="F2F2F2" w:themeFill="background1" w:themeFillShade="F2"/>
            <w:vAlign w:val="center"/>
          </w:tcPr>
          <w:p w14:paraId="2C345050" w14:textId="75A5DB17" w:rsidR="0076251F" w:rsidRPr="00B23210" w:rsidRDefault="0076251F" w:rsidP="0076251F">
            <w:pPr>
              <w:pStyle w:val="TBodynormalNumber"/>
              <w:rPr>
                <w:rFonts w:ascii="Arial" w:hAnsi="Arial" w:cs="Arial"/>
              </w:rPr>
            </w:pPr>
            <w:r w:rsidRPr="00B23210">
              <w:rPr>
                <w:rFonts w:ascii="Arial" w:hAnsi="Arial" w:cs="Arial"/>
                <w:color w:val="000000"/>
                <w:szCs w:val="13"/>
              </w:rPr>
              <w:t>-10,9</w:t>
            </w:r>
          </w:p>
        </w:tc>
      </w:tr>
      <w:tr w:rsidR="0076251F" w:rsidRPr="00B23210" w14:paraId="5A50789B" w14:textId="25CAECA4"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425C73C9" w14:textId="77777777" w:rsidR="0076251F" w:rsidRPr="00B23210" w:rsidRDefault="0076251F" w:rsidP="0076251F">
            <w:pPr>
              <w:pStyle w:val="TBodynormalText"/>
              <w:rPr>
                <w:rFonts w:ascii="Arial" w:hAnsi="Arial" w:cs="Arial"/>
              </w:rPr>
            </w:pPr>
            <w:r w:rsidRPr="00B23210">
              <w:rPr>
                <w:rFonts w:ascii="Arial" w:hAnsi="Arial" w:cs="Arial"/>
              </w:rPr>
              <w:t>EBITDA</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6FD2C148" w14:textId="77777777" w:rsidR="0076251F" w:rsidRPr="00B23210" w:rsidRDefault="0076251F" w:rsidP="0076251F">
            <w:pPr>
              <w:pStyle w:val="TBodynormalNumber"/>
              <w:rPr>
                <w:rFonts w:ascii="Arial" w:hAnsi="Arial" w:cs="Arial"/>
              </w:rPr>
            </w:pPr>
            <w:r w:rsidRPr="00B23210">
              <w:rPr>
                <w:rFonts w:ascii="Arial" w:hAnsi="Arial" w:cs="Arial"/>
              </w:rPr>
              <w:t>1.160,6</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034DCA24" w14:textId="77777777" w:rsidR="0076251F" w:rsidRPr="00B23210" w:rsidRDefault="0076251F" w:rsidP="0076251F">
            <w:pPr>
              <w:pStyle w:val="TBodynormalNumber"/>
              <w:rPr>
                <w:rFonts w:ascii="Arial" w:hAnsi="Arial" w:cs="Arial"/>
              </w:rPr>
            </w:pPr>
            <w:r w:rsidRPr="00B23210">
              <w:rPr>
                <w:rFonts w:ascii="Arial" w:hAnsi="Arial" w:cs="Arial"/>
              </w:rPr>
              <w:t>1.473,7</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74E510C3" w14:textId="76D2EFB9" w:rsidR="0076251F" w:rsidRPr="00B23210" w:rsidRDefault="0076251F" w:rsidP="0076251F">
            <w:pPr>
              <w:pStyle w:val="TBodynormalNumber"/>
              <w:rPr>
                <w:rFonts w:ascii="Arial" w:hAnsi="Arial" w:cs="Arial"/>
              </w:rPr>
            </w:pPr>
            <w:r w:rsidRPr="00B23210">
              <w:rPr>
                <w:rFonts w:ascii="Arial" w:hAnsi="Arial" w:cs="Arial"/>
                <w:color w:val="000000"/>
                <w:szCs w:val="13"/>
              </w:rPr>
              <w:t>-21,2</w:t>
            </w:r>
          </w:p>
        </w:tc>
      </w:tr>
      <w:tr w:rsidR="0076251F" w:rsidRPr="00B23210" w14:paraId="38329B78" w14:textId="11236FDB"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5C2FAE9F" w14:textId="77777777" w:rsidR="0076251F" w:rsidRPr="00B23210" w:rsidRDefault="0076251F" w:rsidP="0076251F">
            <w:pPr>
              <w:pStyle w:val="TBodynormalText"/>
              <w:rPr>
                <w:rFonts w:ascii="Arial" w:hAnsi="Arial" w:cs="Arial"/>
              </w:rPr>
            </w:pPr>
            <w:r w:rsidRPr="00B23210">
              <w:rPr>
                <w:rFonts w:ascii="Arial" w:hAnsi="Arial" w:cs="Arial"/>
              </w:rPr>
              <w:t>in % vom Umsatz</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2C4AF237" w14:textId="77777777" w:rsidR="0076251F" w:rsidRPr="00B23210" w:rsidRDefault="0076251F" w:rsidP="0076251F">
            <w:pPr>
              <w:pStyle w:val="TBodynormalNumber"/>
              <w:rPr>
                <w:rFonts w:ascii="Arial" w:hAnsi="Arial" w:cs="Arial"/>
              </w:rPr>
            </w:pPr>
            <w:r w:rsidRPr="00B23210">
              <w:rPr>
                <w:rFonts w:ascii="Arial" w:hAnsi="Arial" w:cs="Arial"/>
              </w:rPr>
              <w:t>11,8</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523AE366" w14:textId="77777777" w:rsidR="0076251F" w:rsidRPr="00B23210" w:rsidRDefault="0076251F" w:rsidP="0076251F">
            <w:pPr>
              <w:pStyle w:val="TBodynormalNumber"/>
              <w:rPr>
                <w:rFonts w:ascii="Arial" w:hAnsi="Arial" w:cs="Arial"/>
              </w:rPr>
            </w:pPr>
            <w:r w:rsidRPr="00B23210">
              <w:rPr>
                <w:rFonts w:ascii="Arial" w:hAnsi="Arial" w:cs="Arial"/>
              </w:rPr>
              <w:t>13,3</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1786CD8C" w14:textId="40EC79C5" w:rsidR="0076251F" w:rsidRPr="00B23210" w:rsidRDefault="0076251F" w:rsidP="0076251F">
            <w:pPr>
              <w:pStyle w:val="TBodynormalNumber"/>
              <w:rPr>
                <w:rFonts w:ascii="Arial" w:hAnsi="Arial" w:cs="Arial"/>
              </w:rPr>
            </w:pPr>
            <w:r w:rsidRPr="00B23210">
              <w:rPr>
                <w:rFonts w:ascii="Arial" w:hAnsi="Arial" w:cs="Arial"/>
                <w:color w:val="000000"/>
                <w:szCs w:val="13"/>
              </w:rPr>
              <w:t> </w:t>
            </w:r>
          </w:p>
        </w:tc>
      </w:tr>
      <w:tr w:rsidR="0076251F" w:rsidRPr="00B23210" w14:paraId="0FE0C068" w14:textId="52459F63"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08831527" w14:textId="77777777" w:rsidR="0076251F" w:rsidRPr="00B23210" w:rsidRDefault="0076251F" w:rsidP="0076251F">
            <w:pPr>
              <w:pStyle w:val="TBodynormalText"/>
              <w:rPr>
                <w:rFonts w:ascii="Arial" w:hAnsi="Arial" w:cs="Arial"/>
              </w:rPr>
            </w:pPr>
            <w:r w:rsidRPr="00B23210">
              <w:rPr>
                <w:rFonts w:ascii="Arial" w:hAnsi="Arial" w:cs="Arial"/>
                <w:noProof/>
              </w:rPr>
              <w:t>EBIT</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27CF2261" w14:textId="77777777" w:rsidR="0076251F" w:rsidRPr="00B23210" w:rsidRDefault="0076251F" w:rsidP="0076251F">
            <w:pPr>
              <w:pStyle w:val="TBodynormalNumber"/>
              <w:rPr>
                <w:rFonts w:ascii="Arial" w:hAnsi="Arial" w:cs="Arial"/>
              </w:rPr>
            </w:pPr>
            <w:r w:rsidRPr="00B23210">
              <w:rPr>
                <w:rFonts w:ascii="Arial" w:hAnsi="Arial" w:cs="Arial"/>
              </w:rPr>
              <w:t>436,5</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5066B955" w14:textId="77777777" w:rsidR="0076251F" w:rsidRPr="00B23210" w:rsidRDefault="0076251F" w:rsidP="0076251F">
            <w:pPr>
              <w:pStyle w:val="TBodynormalNumber"/>
              <w:rPr>
                <w:rFonts w:ascii="Arial" w:hAnsi="Arial" w:cs="Arial"/>
              </w:rPr>
            </w:pPr>
            <w:r w:rsidRPr="00B23210">
              <w:rPr>
                <w:rFonts w:ascii="Arial" w:hAnsi="Arial" w:cs="Arial"/>
              </w:rPr>
              <w:t>823,3</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54008563" w14:textId="15437B7A" w:rsidR="0076251F" w:rsidRPr="00B23210" w:rsidRDefault="0076251F" w:rsidP="0076251F">
            <w:pPr>
              <w:pStyle w:val="TBodynormalNumber"/>
              <w:rPr>
                <w:rFonts w:ascii="Arial" w:hAnsi="Arial" w:cs="Arial"/>
              </w:rPr>
            </w:pPr>
            <w:r w:rsidRPr="00B23210">
              <w:rPr>
                <w:rFonts w:ascii="Arial" w:hAnsi="Arial" w:cs="Arial"/>
                <w:color w:val="000000"/>
                <w:szCs w:val="13"/>
              </w:rPr>
              <w:t>-47,0</w:t>
            </w:r>
          </w:p>
        </w:tc>
      </w:tr>
      <w:tr w:rsidR="0076251F" w:rsidRPr="00B23210" w14:paraId="32F29F33" w14:textId="4D981BE9"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3C42170B" w14:textId="77777777" w:rsidR="0076251F" w:rsidRPr="00B23210" w:rsidRDefault="0076251F" w:rsidP="0076251F">
            <w:pPr>
              <w:pStyle w:val="TBodynormalText"/>
              <w:rPr>
                <w:rFonts w:ascii="Arial" w:hAnsi="Arial" w:cs="Arial"/>
              </w:rPr>
            </w:pPr>
            <w:r w:rsidRPr="00B23210">
              <w:rPr>
                <w:rFonts w:ascii="Arial" w:hAnsi="Arial" w:cs="Arial"/>
              </w:rPr>
              <w:t>in % vom Umsatz</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4E7AE2DA" w14:textId="77777777" w:rsidR="0076251F" w:rsidRPr="00B23210" w:rsidRDefault="0076251F" w:rsidP="0076251F">
            <w:pPr>
              <w:pStyle w:val="TBodynormalNumber"/>
              <w:rPr>
                <w:rFonts w:ascii="Arial" w:hAnsi="Arial" w:cs="Arial"/>
              </w:rPr>
            </w:pPr>
            <w:r w:rsidRPr="00B23210">
              <w:rPr>
                <w:rFonts w:ascii="Arial" w:hAnsi="Arial" w:cs="Arial"/>
              </w:rPr>
              <w:t>4,4</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5B5DA793" w14:textId="77777777" w:rsidR="0076251F" w:rsidRPr="00B23210" w:rsidRDefault="0076251F" w:rsidP="0076251F">
            <w:pPr>
              <w:pStyle w:val="TBodynormalNumber"/>
              <w:rPr>
                <w:rFonts w:ascii="Arial" w:hAnsi="Arial" w:cs="Arial"/>
              </w:rPr>
            </w:pPr>
            <w:r w:rsidRPr="00B23210">
              <w:rPr>
                <w:rFonts w:ascii="Arial" w:hAnsi="Arial" w:cs="Arial"/>
              </w:rPr>
              <w:t>7,5</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5F738E63" w14:textId="18841800" w:rsidR="0076251F" w:rsidRPr="00B23210" w:rsidRDefault="0076251F" w:rsidP="0076251F">
            <w:pPr>
              <w:pStyle w:val="TBodynormalNumber"/>
              <w:rPr>
                <w:rFonts w:ascii="Arial" w:hAnsi="Arial" w:cs="Arial"/>
              </w:rPr>
            </w:pPr>
            <w:r w:rsidRPr="00B23210">
              <w:rPr>
                <w:rFonts w:ascii="Arial" w:hAnsi="Arial" w:cs="Arial"/>
                <w:color w:val="000000"/>
                <w:szCs w:val="13"/>
              </w:rPr>
              <w:t> </w:t>
            </w:r>
          </w:p>
        </w:tc>
      </w:tr>
      <w:tr w:rsidR="0076251F" w:rsidRPr="00B23210" w14:paraId="63C2AB45" w14:textId="77777777"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049545FA" w14:textId="77777777" w:rsidR="0076251F" w:rsidRPr="00B23210" w:rsidRDefault="0076251F" w:rsidP="0076251F">
            <w:pPr>
              <w:pStyle w:val="TBodynormalText"/>
              <w:rPr>
                <w:rFonts w:ascii="Arial" w:hAnsi="Arial" w:cs="Arial"/>
              </w:rPr>
            </w:pP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6DAA43E9" w14:textId="77777777" w:rsidR="0076251F" w:rsidRPr="00B23210" w:rsidRDefault="0076251F" w:rsidP="0076251F">
            <w:pPr>
              <w:pStyle w:val="TBodynormalNumber"/>
              <w:rPr>
                <w:rFonts w:ascii="Arial" w:hAnsi="Arial" w:cs="Arial"/>
              </w:rPr>
            </w:pP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37FC3569" w14:textId="77777777" w:rsidR="0076251F" w:rsidRPr="00B23210" w:rsidRDefault="0076251F" w:rsidP="0076251F">
            <w:pPr>
              <w:pStyle w:val="TBodynormalNumber"/>
              <w:rPr>
                <w:rFonts w:ascii="Arial" w:hAnsi="Arial" w:cs="Arial"/>
              </w:rPr>
            </w:pP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6199C90C" w14:textId="1E997B23" w:rsidR="0076251F" w:rsidRPr="00B23210" w:rsidRDefault="0076251F" w:rsidP="0076251F">
            <w:pPr>
              <w:pStyle w:val="TBodynormalNumber"/>
              <w:rPr>
                <w:rFonts w:ascii="Arial" w:hAnsi="Arial" w:cs="Arial"/>
              </w:rPr>
            </w:pPr>
            <w:r w:rsidRPr="00B23210">
              <w:rPr>
                <w:rFonts w:ascii="Arial" w:hAnsi="Arial" w:cs="Arial"/>
                <w:color w:val="000000"/>
                <w:szCs w:val="13"/>
              </w:rPr>
              <w:t> </w:t>
            </w:r>
          </w:p>
        </w:tc>
      </w:tr>
      <w:tr w:rsidR="0076251F" w:rsidRPr="00B23210" w14:paraId="465E2A20" w14:textId="77777777"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3E317512" w14:textId="70FD8660" w:rsidR="0076251F" w:rsidRPr="00B23210" w:rsidRDefault="0076251F" w:rsidP="0076251F">
            <w:pPr>
              <w:pStyle w:val="TBodynormalText"/>
              <w:rPr>
                <w:rFonts w:ascii="Arial" w:hAnsi="Arial" w:cs="Arial"/>
              </w:rPr>
            </w:pPr>
            <w:r w:rsidRPr="00B23210">
              <w:rPr>
                <w:rFonts w:ascii="Arial" w:hAnsi="Arial" w:cs="Arial"/>
              </w:rPr>
              <w:t>Forschungs- und Entwicklungskosten (netto)</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0A6508D0" w14:textId="491909CF" w:rsidR="0076251F" w:rsidRPr="00B23210" w:rsidRDefault="0076251F" w:rsidP="0076251F">
            <w:pPr>
              <w:pStyle w:val="TBodynormalNumber"/>
              <w:rPr>
                <w:rFonts w:ascii="Arial" w:hAnsi="Arial" w:cs="Arial"/>
              </w:rPr>
            </w:pPr>
            <w:r w:rsidRPr="00B23210">
              <w:rPr>
                <w:rFonts w:ascii="Arial" w:hAnsi="Arial" w:cs="Arial"/>
              </w:rPr>
              <w:t>913,0</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610FBBCC" w14:textId="609A2AA1" w:rsidR="0076251F" w:rsidRPr="00B23210" w:rsidRDefault="0076251F" w:rsidP="0076251F">
            <w:pPr>
              <w:pStyle w:val="TBodynormalNumber"/>
              <w:rPr>
                <w:rFonts w:ascii="Arial" w:hAnsi="Arial" w:cs="Arial"/>
              </w:rPr>
            </w:pPr>
            <w:r w:rsidRPr="00B23210">
              <w:rPr>
                <w:rFonts w:ascii="Arial" w:hAnsi="Arial" w:cs="Arial"/>
              </w:rPr>
              <w:t>902,8</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33A46FB4" w14:textId="58E4C71E" w:rsidR="0076251F" w:rsidRPr="00B23210" w:rsidRDefault="0076251F" w:rsidP="0076251F">
            <w:pPr>
              <w:pStyle w:val="TBodynormalNumber"/>
              <w:rPr>
                <w:rFonts w:ascii="Arial" w:hAnsi="Arial" w:cs="Arial"/>
              </w:rPr>
            </w:pPr>
            <w:r w:rsidRPr="00B23210">
              <w:rPr>
                <w:rFonts w:ascii="Arial" w:hAnsi="Arial" w:cs="Arial"/>
                <w:color w:val="000000"/>
                <w:szCs w:val="13"/>
              </w:rPr>
              <w:t>1,1</w:t>
            </w:r>
          </w:p>
        </w:tc>
      </w:tr>
      <w:tr w:rsidR="0076251F" w:rsidRPr="00B23210" w14:paraId="663D81B8" w14:textId="77777777"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6E03EE3A" w14:textId="156259ED" w:rsidR="0076251F" w:rsidRPr="00B23210" w:rsidRDefault="0076251F" w:rsidP="0076251F">
            <w:pPr>
              <w:pStyle w:val="TBodynormalText"/>
              <w:rPr>
                <w:rFonts w:ascii="Arial" w:hAnsi="Arial" w:cs="Arial"/>
              </w:rPr>
            </w:pPr>
            <w:r w:rsidRPr="00B23210">
              <w:rPr>
                <w:rFonts w:ascii="Arial" w:hAnsi="Arial" w:cs="Arial"/>
              </w:rPr>
              <w:t>in % vom Umsatz</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27D71045" w14:textId="7920A11A" w:rsidR="0076251F" w:rsidRPr="00B23210" w:rsidRDefault="0076251F" w:rsidP="0076251F">
            <w:pPr>
              <w:pStyle w:val="TBodynormalNumber"/>
              <w:rPr>
                <w:rFonts w:ascii="Arial" w:hAnsi="Arial" w:cs="Arial"/>
              </w:rPr>
            </w:pPr>
            <w:r w:rsidRPr="00B23210">
              <w:rPr>
                <w:rFonts w:ascii="Arial" w:hAnsi="Arial" w:cs="Arial"/>
              </w:rPr>
              <w:t>9,3</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009801CF" w14:textId="73D151A3" w:rsidR="0076251F" w:rsidRPr="00B23210" w:rsidRDefault="0076251F" w:rsidP="0076251F">
            <w:pPr>
              <w:pStyle w:val="TBodynormalNumber"/>
              <w:rPr>
                <w:rFonts w:ascii="Arial" w:hAnsi="Arial" w:cs="Arial"/>
              </w:rPr>
            </w:pPr>
            <w:r w:rsidRPr="00B23210">
              <w:rPr>
                <w:rFonts w:ascii="Arial" w:hAnsi="Arial" w:cs="Arial"/>
              </w:rPr>
              <w:t>8,2</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628A1466" w14:textId="3A2574D0" w:rsidR="0076251F" w:rsidRPr="00B23210" w:rsidRDefault="0076251F" w:rsidP="0076251F">
            <w:pPr>
              <w:pStyle w:val="TBodynormalNumber"/>
              <w:rPr>
                <w:rFonts w:ascii="Arial" w:hAnsi="Arial" w:cs="Arial"/>
              </w:rPr>
            </w:pPr>
            <w:r w:rsidRPr="00B23210">
              <w:rPr>
                <w:rFonts w:ascii="Arial" w:hAnsi="Arial" w:cs="Arial"/>
                <w:color w:val="000000"/>
                <w:szCs w:val="13"/>
              </w:rPr>
              <w:t> </w:t>
            </w:r>
          </w:p>
        </w:tc>
      </w:tr>
      <w:tr w:rsidR="0076251F" w:rsidRPr="00B23210" w14:paraId="694BC2ED" w14:textId="77777777"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7E0F8C2A" w14:textId="7431B745" w:rsidR="0076251F" w:rsidRPr="00B23210" w:rsidRDefault="0076251F" w:rsidP="0076251F">
            <w:pPr>
              <w:pStyle w:val="TBodynormalText"/>
              <w:rPr>
                <w:rFonts w:ascii="Arial" w:hAnsi="Arial" w:cs="Arial"/>
              </w:rPr>
            </w:pPr>
            <w:r w:rsidRPr="00B23210">
              <w:rPr>
                <w:rFonts w:ascii="Arial" w:hAnsi="Arial" w:cs="Arial"/>
              </w:rPr>
              <w:t>Investitionen</w:t>
            </w:r>
            <w:r w:rsidR="00BC01E7">
              <w:rPr>
                <w:rFonts w:ascii="Arial" w:hAnsi="Arial" w:cs="Arial"/>
                <w:vertAlign w:val="superscript"/>
              </w:rPr>
              <w:t>1</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35811A16" w14:textId="1F875E6D" w:rsidR="0076251F" w:rsidRPr="00B23210" w:rsidRDefault="0076251F" w:rsidP="0076251F">
            <w:pPr>
              <w:pStyle w:val="TBodynormalNumber"/>
              <w:rPr>
                <w:rFonts w:ascii="Arial" w:hAnsi="Arial" w:cs="Arial"/>
              </w:rPr>
            </w:pPr>
            <w:r w:rsidRPr="00B23210">
              <w:rPr>
                <w:rFonts w:ascii="Arial" w:hAnsi="Arial" w:cs="Arial"/>
              </w:rPr>
              <w:t>475,0</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34D29E20" w14:textId="273E4DB9" w:rsidR="0076251F" w:rsidRPr="00B23210" w:rsidRDefault="0076251F" w:rsidP="0076251F">
            <w:pPr>
              <w:pStyle w:val="TBodynormalNumber"/>
              <w:rPr>
                <w:rFonts w:ascii="Arial" w:hAnsi="Arial" w:cs="Arial"/>
              </w:rPr>
            </w:pPr>
            <w:r w:rsidRPr="00B23210">
              <w:rPr>
                <w:rFonts w:ascii="Arial" w:hAnsi="Arial" w:cs="Arial"/>
              </w:rPr>
              <w:t>641,8</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0F090D31" w14:textId="5BB7B4E5" w:rsidR="0076251F" w:rsidRPr="00B23210" w:rsidRDefault="0076251F" w:rsidP="0076251F">
            <w:pPr>
              <w:pStyle w:val="TBodynormalNumber"/>
              <w:rPr>
                <w:rFonts w:ascii="Arial" w:hAnsi="Arial" w:cs="Arial"/>
              </w:rPr>
            </w:pPr>
            <w:r w:rsidRPr="00B23210">
              <w:rPr>
                <w:rFonts w:ascii="Arial" w:hAnsi="Arial" w:cs="Arial"/>
                <w:color w:val="000000"/>
                <w:szCs w:val="13"/>
              </w:rPr>
              <w:t>-26,0</w:t>
            </w:r>
          </w:p>
        </w:tc>
      </w:tr>
      <w:tr w:rsidR="0076251F" w:rsidRPr="00B23210" w14:paraId="183D4318" w14:textId="77777777"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61E819CA" w14:textId="1C3868AF" w:rsidR="0076251F" w:rsidRPr="00B23210" w:rsidRDefault="0076251F" w:rsidP="0076251F">
            <w:pPr>
              <w:pStyle w:val="TBodynormalText"/>
              <w:rPr>
                <w:rFonts w:ascii="Arial" w:hAnsi="Arial" w:cs="Arial"/>
              </w:rPr>
            </w:pPr>
            <w:r w:rsidRPr="00B23210">
              <w:rPr>
                <w:rFonts w:ascii="Arial" w:hAnsi="Arial" w:cs="Arial"/>
              </w:rPr>
              <w:t>in % vom Umsatz</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203243E2" w14:textId="3B14B713" w:rsidR="0076251F" w:rsidRPr="00B23210" w:rsidRDefault="0076251F" w:rsidP="0076251F">
            <w:pPr>
              <w:pStyle w:val="TBodynormalNumber"/>
              <w:rPr>
                <w:rFonts w:ascii="Arial" w:hAnsi="Arial" w:cs="Arial"/>
              </w:rPr>
            </w:pPr>
            <w:r w:rsidRPr="00B23210">
              <w:rPr>
                <w:rFonts w:ascii="Arial" w:hAnsi="Arial" w:cs="Arial"/>
              </w:rPr>
              <w:t>4,8</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4363055A" w14:textId="24C021E8" w:rsidR="0076251F" w:rsidRPr="00B23210" w:rsidRDefault="0076251F" w:rsidP="0076251F">
            <w:pPr>
              <w:pStyle w:val="TBodynormalNumber"/>
              <w:rPr>
                <w:rFonts w:ascii="Arial" w:hAnsi="Arial" w:cs="Arial"/>
              </w:rPr>
            </w:pPr>
            <w:r w:rsidRPr="00B23210">
              <w:rPr>
                <w:rFonts w:ascii="Arial" w:hAnsi="Arial" w:cs="Arial"/>
              </w:rPr>
              <w:t>5,8</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48D115C7" w14:textId="5B6302E2" w:rsidR="0076251F" w:rsidRPr="00B23210" w:rsidRDefault="0076251F" w:rsidP="0076251F">
            <w:pPr>
              <w:pStyle w:val="TBodynormalNumber"/>
              <w:rPr>
                <w:rFonts w:ascii="Arial" w:hAnsi="Arial" w:cs="Arial"/>
              </w:rPr>
            </w:pPr>
            <w:r w:rsidRPr="00B23210">
              <w:rPr>
                <w:rFonts w:ascii="Arial" w:hAnsi="Arial" w:cs="Arial"/>
                <w:color w:val="000000"/>
                <w:szCs w:val="13"/>
              </w:rPr>
              <w:t> </w:t>
            </w:r>
          </w:p>
        </w:tc>
      </w:tr>
      <w:tr w:rsidR="0076251F" w:rsidRPr="00B23210" w14:paraId="15AA7DD8" w14:textId="77777777"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61D5B121" w14:textId="77777777" w:rsidR="0076251F" w:rsidRPr="00B23210" w:rsidRDefault="0076251F" w:rsidP="0076251F">
            <w:pPr>
              <w:pStyle w:val="TBodynormalText"/>
              <w:rPr>
                <w:rFonts w:ascii="Arial" w:hAnsi="Arial" w:cs="Arial"/>
              </w:rPr>
            </w:pP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5DF920FE" w14:textId="77777777" w:rsidR="0076251F" w:rsidRPr="00B23210" w:rsidRDefault="0076251F" w:rsidP="0076251F">
            <w:pPr>
              <w:pStyle w:val="TBodynormalNumber"/>
              <w:rPr>
                <w:rFonts w:ascii="Arial" w:hAnsi="Arial" w:cs="Arial"/>
              </w:rPr>
            </w:pP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3973A097" w14:textId="77777777" w:rsidR="0076251F" w:rsidRPr="00B23210" w:rsidRDefault="0076251F" w:rsidP="0076251F">
            <w:pPr>
              <w:pStyle w:val="TBodynormalNumber"/>
              <w:rPr>
                <w:rFonts w:ascii="Arial" w:hAnsi="Arial" w:cs="Arial"/>
              </w:rPr>
            </w:pP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23E4A569" w14:textId="0072789D" w:rsidR="0076251F" w:rsidRPr="00B23210" w:rsidRDefault="0076251F" w:rsidP="0076251F">
            <w:pPr>
              <w:pStyle w:val="TBodynormalNumber"/>
              <w:rPr>
                <w:rFonts w:ascii="Arial" w:hAnsi="Arial" w:cs="Arial"/>
              </w:rPr>
            </w:pPr>
            <w:r w:rsidRPr="00B23210">
              <w:rPr>
                <w:rFonts w:ascii="Arial" w:hAnsi="Arial" w:cs="Arial"/>
                <w:color w:val="000000"/>
                <w:szCs w:val="13"/>
              </w:rPr>
              <w:t> </w:t>
            </w:r>
          </w:p>
        </w:tc>
      </w:tr>
      <w:tr w:rsidR="0076251F" w:rsidRPr="00B23210" w14:paraId="527A97AC" w14:textId="7D96AF4E"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20D2377A" w14:textId="77777777" w:rsidR="0076251F" w:rsidRPr="00B23210" w:rsidRDefault="0076251F" w:rsidP="0076251F">
            <w:pPr>
              <w:pStyle w:val="TBodynormalText"/>
              <w:rPr>
                <w:rFonts w:ascii="Arial" w:hAnsi="Arial" w:cs="Arial"/>
              </w:rPr>
            </w:pPr>
            <w:r w:rsidRPr="00B23210">
              <w:rPr>
                <w:rFonts w:ascii="Arial" w:hAnsi="Arial" w:cs="Arial"/>
              </w:rPr>
              <w:t>Konzernergebnis den Anteilseignern zuzurechnen</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3BA715E4" w14:textId="77777777" w:rsidR="0076251F" w:rsidRPr="00B23210" w:rsidRDefault="0076251F" w:rsidP="0076251F">
            <w:pPr>
              <w:pStyle w:val="TBodynormalNumber"/>
              <w:rPr>
                <w:rFonts w:ascii="Arial" w:hAnsi="Arial" w:cs="Arial"/>
              </w:rPr>
            </w:pPr>
            <w:r w:rsidRPr="00B23210">
              <w:rPr>
                <w:rFonts w:ascii="Arial" w:hAnsi="Arial" w:cs="Arial"/>
              </w:rPr>
              <w:t>292,3</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13FFAC1D" w14:textId="77777777" w:rsidR="0076251F" w:rsidRPr="00B23210" w:rsidRDefault="0076251F" w:rsidP="0076251F">
            <w:pPr>
              <w:pStyle w:val="TBodynormalNumber"/>
              <w:rPr>
                <w:rFonts w:ascii="Arial" w:hAnsi="Arial" w:cs="Arial"/>
              </w:rPr>
            </w:pPr>
            <w:r w:rsidRPr="00B23210">
              <w:rPr>
                <w:rFonts w:ascii="Arial" w:hAnsi="Arial" w:cs="Arial"/>
              </w:rPr>
              <w:t>575,2</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18D045B7" w14:textId="31A39DB8" w:rsidR="0076251F" w:rsidRPr="00B23210" w:rsidRDefault="0076251F" w:rsidP="0076251F">
            <w:pPr>
              <w:pStyle w:val="TBodynormalNumber"/>
              <w:rPr>
                <w:rFonts w:ascii="Arial" w:hAnsi="Arial" w:cs="Arial"/>
              </w:rPr>
            </w:pPr>
            <w:r w:rsidRPr="00B23210">
              <w:rPr>
                <w:rFonts w:ascii="Arial" w:hAnsi="Arial" w:cs="Arial"/>
                <w:color w:val="000000"/>
                <w:szCs w:val="13"/>
              </w:rPr>
              <w:t>-49,2</w:t>
            </w:r>
          </w:p>
        </w:tc>
      </w:tr>
      <w:tr w:rsidR="0076251F" w:rsidRPr="00B23210" w14:paraId="76466244" w14:textId="0965732E"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441971BC" w14:textId="77777777" w:rsidR="0076251F" w:rsidRPr="00B23210" w:rsidRDefault="0076251F" w:rsidP="0076251F">
            <w:pPr>
              <w:pStyle w:val="TBodynormalText"/>
              <w:rPr>
                <w:rFonts w:ascii="Arial" w:hAnsi="Arial" w:cs="Arial"/>
              </w:rPr>
            </w:pPr>
            <w:r w:rsidRPr="00B23210">
              <w:rPr>
                <w:rFonts w:ascii="Arial" w:hAnsi="Arial" w:cs="Arial"/>
              </w:rPr>
              <w:t>Ergebnis pro Aktie in €, unverwässert</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1F2D0161" w14:textId="77777777" w:rsidR="0076251F" w:rsidRPr="00B23210" w:rsidRDefault="0076251F" w:rsidP="0076251F">
            <w:pPr>
              <w:pStyle w:val="TBodynormalNumber"/>
              <w:rPr>
                <w:rFonts w:ascii="Arial" w:hAnsi="Arial" w:cs="Arial"/>
              </w:rPr>
            </w:pPr>
            <w:r w:rsidRPr="00B23210">
              <w:rPr>
                <w:rFonts w:ascii="Arial" w:hAnsi="Arial" w:cs="Arial"/>
              </w:rPr>
              <w:t>1,46</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1C9AB60A" w14:textId="77777777" w:rsidR="0076251F" w:rsidRPr="00B23210" w:rsidRDefault="0076251F" w:rsidP="0076251F">
            <w:pPr>
              <w:pStyle w:val="TBodynormalNumber"/>
              <w:rPr>
                <w:rFonts w:ascii="Arial" w:hAnsi="Arial" w:cs="Arial"/>
              </w:rPr>
            </w:pPr>
            <w:r w:rsidRPr="00B23210">
              <w:rPr>
                <w:rFonts w:ascii="Arial" w:hAnsi="Arial" w:cs="Arial"/>
              </w:rPr>
              <w:t>2,88</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14005E11" w14:textId="6CE65E3A" w:rsidR="0076251F" w:rsidRPr="00B23210" w:rsidRDefault="0076251F" w:rsidP="0076251F">
            <w:pPr>
              <w:pStyle w:val="TBodynormalNumber"/>
              <w:rPr>
                <w:rFonts w:ascii="Arial" w:hAnsi="Arial" w:cs="Arial"/>
              </w:rPr>
            </w:pPr>
            <w:r w:rsidRPr="00B23210">
              <w:rPr>
                <w:rFonts w:ascii="Arial" w:hAnsi="Arial" w:cs="Arial"/>
                <w:color w:val="000000"/>
                <w:szCs w:val="13"/>
              </w:rPr>
              <w:t>-49,3</w:t>
            </w:r>
          </w:p>
        </w:tc>
      </w:tr>
      <w:tr w:rsidR="0076251F" w:rsidRPr="00B23210" w14:paraId="2805DBF3" w14:textId="07A3E4A6"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0534B33B" w14:textId="77777777" w:rsidR="0076251F" w:rsidRPr="00B23210" w:rsidRDefault="0076251F" w:rsidP="0076251F">
            <w:pPr>
              <w:pStyle w:val="TBodynormalText"/>
              <w:rPr>
                <w:rFonts w:ascii="Arial" w:hAnsi="Arial" w:cs="Arial"/>
              </w:rPr>
            </w:pPr>
            <w:r w:rsidRPr="00B23210">
              <w:rPr>
                <w:rFonts w:ascii="Arial" w:hAnsi="Arial" w:cs="Arial"/>
              </w:rPr>
              <w:t>Ergebnis pro Aktie in €, verwässert</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51CCA0E5" w14:textId="77777777" w:rsidR="0076251F" w:rsidRPr="00B23210" w:rsidRDefault="0076251F" w:rsidP="0076251F">
            <w:pPr>
              <w:pStyle w:val="TBodynormalNumber"/>
              <w:rPr>
                <w:rFonts w:ascii="Arial" w:hAnsi="Arial" w:cs="Arial"/>
              </w:rPr>
            </w:pPr>
            <w:r w:rsidRPr="00B23210">
              <w:rPr>
                <w:rFonts w:ascii="Arial" w:hAnsi="Arial" w:cs="Arial"/>
              </w:rPr>
              <w:t>1,46</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32454F74" w14:textId="77777777" w:rsidR="0076251F" w:rsidRPr="00B23210" w:rsidRDefault="0076251F" w:rsidP="0076251F">
            <w:pPr>
              <w:pStyle w:val="TBodynormalNumber"/>
              <w:rPr>
                <w:rFonts w:ascii="Arial" w:hAnsi="Arial" w:cs="Arial"/>
              </w:rPr>
            </w:pPr>
            <w:r w:rsidRPr="00B23210">
              <w:rPr>
                <w:rFonts w:ascii="Arial" w:hAnsi="Arial" w:cs="Arial"/>
              </w:rPr>
              <w:t>2,88</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35877618" w14:textId="5CB9D4B9" w:rsidR="0076251F" w:rsidRPr="00B23210" w:rsidRDefault="0076251F" w:rsidP="0076251F">
            <w:pPr>
              <w:pStyle w:val="TBodynormalNumber"/>
              <w:rPr>
                <w:rFonts w:ascii="Arial" w:hAnsi="Arial" w:cs="Arial"/>
              </w:rPr>
            </w:pPr>
            <w:r w:rsidRPr="00B23210">
              <w:rPr>
                <w:rFonts w:ascii="Arial" w:hAnsi="Arial" w:cs="Arial"/>
                <w:color w:val="000000"/>
                <w:szCs w:val="13"/>
              </w:rPr>
              <w:t>-49,3</w:t>
            </w:r>
          </w:p>
        </w:tc>
      </w:tr>
      <w:tr w:rsidR="0076251F" w:rsidRPr="00B23210" w14:paraId="019DB70B" w14:textId="0AAE593D"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03D3C5B5" w14:textId="77777777" w:rsidR="0076251F" w:rsidRPr="00B23210" w:rsidRDefault="0076251F" w:rsidP="0076251F">
            <w:pPr>
              <w:pStyle w:val="TBodynormalText"/>
              <w:rPr>
                <w:rFonts w:ascii="Arial" w:hAnsi="Arial" w:cs="Arial"/>
              </w:rPr>
            </w:pPr>
            <w:r w:rsidRPr="00B23210">
              <w:rPr>
                <w:rFonts w:ascii="Arial" w:hAnsi="Arial" w:cs="Arial"/>
              </w:rPr>
              <w:t> </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6E546EB8" w14:textId="77777777" w:rsidR="0076251F" w:rsidRPr="00B23210" w:rsidRDefault="0076251F" w:rsidP="0076251F">
            <w:pPr>
              <w:pStyle w:val="TBodynormalNumber"/>
              <w:rPr>
                <w:rFonts w:ascii="Arial" w:hAnsi="Arial" w:cs="Arial"/>
              </w:rPr>
            </w:pPr>
            <w:r w:rsidRPr="00B23210">
              <w:rPr>
                <w:rFonts w:ascii="Arial" w:hAnsi="Arial" w:cs="Arial"/>
              </w:rPr>
              <w:t> </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38286B00" w14:textId="77777777" w:rsidR="0076251F" w:rsidRPr="00B23210" w:rsidRDefault="0076251F" w:rsidP="0076251F">
            <w:pPr>
              <w:pStyle w:val="TBodynormalNumber"/>
              <w:rPr>
                <w:rFonts w:ascii="Arial" w:hAnsi="Arial" w:cs="Arial"/>
              </w:rPr>
            </w:pPr>
            <w:r w:rsidRPr="00B23210">
              <w:rPr>
                <w:rFonts w:ascii="Arial" w:hAnsi="Arial" w:cs="Arial"/>
              </w:rPr>
              <w:t> </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5DA23088" w14:textId="27DDF782" w:rsidR="0076251F" w:rsidRPr="00B23210" w:rsidRDefault="0076251F" w:rsidP="0076251F">
            <w:pPr>
              <w:pStyle w:val="TBodynormalNumber"/>
              <w:rPr>
                <w:rFonts w:ascii="Arial" w:hAnsi="Arial" w:cs="Arial"/>
              </w:rPr>
            </w:pPr>
            <w:r w:rsidRPr="00B23210">
              <w:rPr>
                <w:rFonts w:ascii="Arial" w:hAnsi="Arial" w:cs="Arial"/>
                <w:color w:val="000000"/>
                <w:szCs w:val="13"/>
              </w:rPr>
              <w:t> </w:t>
            </w:r>
          </w:p>
        </w:tc>
      </w:tr>
      <w:tr w:rsidR="0076251F" w:rsidRPr="00B23210" w14:paraId="787BC27A" w14:textId="7710BD53"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1A83E4E2" w14:textId="25E9DF67" w:rsidR="0076251F" w:rsidRPr="00B23210" w:rsidRDefault="0076251F" w:rsidP="0076251F">
            <w:pPr>
              <w:pStyle w:val="TBodynormalText"/>
              <w:rPr>
                <w:rFonts w:ascii="Arial" w:hAnsi="Arial" w:cs="Arial"/>
              </w:rPr>
            </w:pPr>
            <w:r w:rsidRPr="00B23210">
              <w:rPr>
                <w:rFonts w:ascii="Arial" w:hAnsi="Arial" w:cs="Arial"/>
              </w:rPr>
              <w:t>Umsatz bereinigt</w:t>
            </w:r>
            <w:r w:rsidR="00BC01E7">
              <w:rPr>
                <w:rFonts w:ascii="Arial" w:hAnsi="Arial" w:cs="Arial"/>
                <w:vertAlign w:val="superscript"/>
              </w:rPr>
              <w:t>2</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50F07B4F" w14:textId="77777777" w:rsidR="0076251F" w:rsidRPr="00B23210" w:rsidRDefault="0076251F" w:rsidP="0076251F">
            <w:pPr>
              <w:pStyle w:val="TBodynormalNumber"/>
              <w:rPr>
                <w:rFonts w:ascii="Arial" w:hAnsi="Arial" w:cs="Arial"/>
              </w:rPr>
            </w:pPr>
            <w:r w:rsidRPr="00B23210">
              <w:rPr>
                <w:rFonts w:ascii="Arial" w:hAnsi="Arial" w:cs="Arial"/>
              </w:rPr>
              <w:t>9.743,6</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34B7566F" w14:textId="77777777" w:rsidR="0076251F" w:rsidRPr="00B23210" w:rsidRDefault="0076251F" w:rsidP="0076251F">
            <w:pPr>
              <w:pStyle w:val="TBodynormalNumber"/>
              <w:rPr>
                <w:rFonts w:ascii="Arial" w:hAnsi="Arial" w:cs="Arial"/>
              </w:rPr>
            </w:pPr>
            <w:r w:rsidRPr="00B23210">
              <w:rPr>
                <w:rFonts w:ascii="Arial" w:hAnsi="Arial" w:cs="Arial"/>
              </w:rPr>
              <w:t>10.921,1</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583C13F5" w14:textId="6022AE92" w:rsidR="0076251F" w:rsidRPr="00B23210" w:rsidRDefault="0076251F" w:rsidP="0076251F">
            <w:pPr>
              <w:pStyle w:val="TBodynormalNumber"/>
              <w:rPr>
                <w:rFonts w:ascii="Arial" w:hAnsi="Arial" w:cs="Arial"/>
              </w:rPr>
            </w:pPr>
            <w:r w:rsidRPr="00B23210">
              <w:rPr>
                <w:rFonts w:ascii="Arial" w:hAnsi="Arial" w:cs="Arial"/>
                <w:color w:val="000000"/>
                <w:szCs w:val="13"/>
              </w:rPr>
              <w:t>-10,8</w:t>
            </w:r>
          </w:p>
        </w:tc>
      </w:tr>
      <w:tr w:rsidR="0076251F" w:rsidRPr="00B23210" w14:paraId="5D81FCD6" w14:textId="2DF9ADAC"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3EE0C093" w14:textId="5A977D19" w:rsidR="0076251F" w:rsidRPr="00B23210" w:rsidRDefault="0076251F" w:rsidP="0076251F">
            <w:pPr>
              <w:pStyle w:val="TBodynormalText"/>
              <w:rPr>
                <w:rFonts w:ascii="Arial" w:hAnsi="Arial" w:cs="Arial"/>
              </w:rPr>
            </w:pPr>
            <w:r w:rsidRPr="00B23210">
              <w:rPr>
                <w:rFonts w:ascii="Arial" w:hAnsi="Arial" w:cs="Arial"/>
              </w:rPr>
              <w:t>Bereinigtes operatives Ergebnis (EBIT bereinigt)</w:t>
            </w:r>
            <w:r w:rsidR="00BC01E7">
              <w:rPr>
                <w:rFonts w:ascii="Arial" w:hAnsi="Arial" w:cs="Arial"/>
                <w:vertAlign w:val="superscript"/>
              </w:rPr>
              <w:t>3</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4F48A3CA" w14:textId="77777777" w:rsidR="0076251F" w:rsidRPr="00B23210" w:rsidRDefault="0076251F" w:rsidP="0076251F">
            <w:pPr>
              <w:pStyle w:val="TBodynormalNumber"/>
              <w:rPr>
                <w:rFonts w:ascii="Arial" w:hAnsi="Arial" w:cs="Arial"/>
              </w:rPr>
            </w:pPr>
            <w:r w:rsidRPr="00B23210">
              <w:rPr>
                <w:rFonts w:ascii="Arial" w:hAnsi="Arial" w:cs="Arial"/>
              </w:rPr>
              <w:t>431,9</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30C054CD" w14:textId="77777777" w:rsidR="0076251F" w:rsidRPr="00B23210" w:rsidRDefault="0076251F" w:rsidP="0076251F">
            <w:pPr>
              <w:pStyle w:val="TBodynormalNumber"/>
              <w:rPr>
                <w:rFonts w:ascii="Arial" w:hAnsi="Arial" w:cs="Arial"/>
              </w:rPr>
            </w:pPr>
            <w:r w:rsidRPr="00B23210">
              <w:rPr>
                <w:rFonts w:ascii="Arial" w:hAnsi="Arial" w:cs="Arial"/>
              </w:rPr>
              <w:t>883,6</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5E885CA0" w14:textId="2D90106D" w:rsidR="0076251F" w:rsidRPr="00B23210" w:rsidRDefault="0076251F" w:rsidP="0076251F">
            <w:pPr>
              <w:pStyle w:val="TBodynormalNumber"/>
              <w:rPr>
                <w:rFonts w:ascii="Arial" w:hAnsi="Arial" w:cs="Arial"/>
              </w:rPr>
            </w:pPr>
            <w:r w:rsidRPr="00B23210">
              <w:rPr>
                <w:rFonts w:ascii="Arial" w:hAnsi="Arial" w:cs="Arial"/>
                <w:color w:val="000000"/>
                <w:szCs w:val="13"/>
              </w:rPr>
              <w:t>-51,1</w:t>
            </w:r>
          </w:p>
        </w:tc>
      </w:tr>
      <w:tr w:rsidR="0076251F" w:rsidRPr="00B23210" w14:paraId="72E4AC8D" w14:textId="41DD7490"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5ECD78B4" w14:textId="77777777" w:rsidR="0076251F" w:rsidRPr="00B23210" w:rsidRDefault="0076251F" w:rsidP="0076251F">
            <w:pPr>
              <w:pStyle w:val="TBodynormalText"/>
              <w:rPr>
                <w:rFonts w:ascii="Arial" w:hAnsi="Arial" w:cs="Arial"/>
              </w:rPr>
            </w:pPr>
            <w:r w:rsidRPr="00B23210">
              <w:rPr>
                <w:rFonts w:ascii="Arial" w:hAnsi="Arial" w:cs="Arial"/>
              </w:rPr>
              <w:t>in % des bereinigten Umsatzes</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0B9C7EDD" w14:textId="77777777" w:rsidR="0076251F" w:rsidRPr="00B23210" w:rsidRDefault="0076251F" w:rsidP="0076251F">
            <w:pPr>
              <w:pStyle w:val="TBodynormalNumber"/>
              <w:rPr>
                <w:rFonts w:ascii="Arial" w:hAnsi="Arial" w:cs="Arial"/>
              </w:rPr>
            </w:pPr>
            <w:r w:rsidRPr="00B23210">
              <w:rPr>
                <w:rFonts w:ascii="Arial" w:hAnsi="Arial" w:cs="Arial"/>
              </w:rPr>
              <w:t>4,4</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0DBBA63A" w14:textId="77777777" w:rsidR="0076251F" w:rsidRPr="00B23210" w:rsidRDefault="0076251F" w:rsidP="0076251F">
            <w:pPr>
              <w:pStyle w:val="TBodynormalNumber"/>
              <w:rPr>
                <w:rFonts w:ascii="Arial" w:hAnsi="Arial" w:cs="Arial"/>
              </w:rPr>
            </w:pPr>
            <w:r w:rsidRPr="00B23210">
              <w:rPr>
                <w:rFonts w:ascii="Arial" w:hAnsi="Arial" w:cs="Arial"/>
              </w:rPr>
              <w:t>8,1</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67CD8A35" w14:textId="5490BAC9" w:rsidR="0076251F" w:rsidRPr="00B23210" w:rsidRDefault="0076251F" w:rsidP="0076251F">
            <w:pPr>
              <w:pStyle w:val="TBodynormalNumber"/>
              <w:rPr>
                <w:rFonts w:ascii="Arial" w:hAnsi="Arial" w:cs="Arial"/>
              </w:rPr>
            </w:pPr>
            <w:r w:rsidRPr="00B23210">
              <w:rPr>
                <w:rFonts w:ascii="Arial" w:hAnsi="Arial" w:cs="Arial"/>
                <w:color w:val="000000"/>
                <w:szCs w:val="13"/>
              </w:rPr>
              <w:t> </w:t>
            </w:r>
          </w:p>
        </w:tc>
      </w:tr>
      <w:tr w:rsidR="0076251F" w:rsidRPr="00B23210" w14:paraId="72A9ED41" w14:textId="63EB58DE"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49BC80E1" w14:textId="77777777" w:rsidR="0076251F" w:rsidRPr="00B23210" w:rsidRDefault="0076251F" w:rsidP="0076251F">
            <w:pPr>
              <w:pStyle w:val="TBodynormalText"/>
              <w:rPr>
                <w:rFonts w:ascii="Arial" w:hAnsi="Arial" w:cs="Arial"/>
              </w:rPr>
            </w:pPr>
            <w:r w:rsidRPr="00B23210">
              <w:rPr>
                <w:rFonts w:ascii="Arial" w:hAnsi="Arial" w:cs="Arial"/>
              </w:rPr>
              <w:t> </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5FA901B1" w14:textId="77777777" w:rsidR="0076251F" w:rsidRPr="00B23210" w:rsidRDefault="0076251F" w:rsidP="0076251F">
            <w:pPr>
              <w:pStyle w:val="TBodynormalNumber"/>
              <w:rPr>
                <w:rFonts w:ascii="Arial" w:hAnsi="Arial" w:cs="Arial"/>
              </w:rPr>
            </w:pPr>
            <w:r w:rsidRPr="00B23210">
              <w:rPr>
                <w:rFonts w:ascii="Arial" w:hAnsi="Arial" w:cs="Arial"/>
              </w:rPr>
              <w:t> </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71B2C7DA" w14:textId="77777777" w:rsidR="0076251F" w:rsidRPr="00B23210" w:rsidRDefault="0076251F" w:rsidP="0076251F">
            <w:pPr>
              <w:pStyle w:val="TBodynormalNumber"/>
              <w:rPr>
                <w:rFonts w:ascii="Arial" w:hAnsi="Arial" w:cs="Arial"/>
              </w:rPr>
            </w:pPr>
            <w:r w:rsidRPr="00B23210">
              <w:rPr>
                <w:rFonts w:ascii="Arial" w:hAnsi="Arial" w:cs="Arial"/>
              </w:rPr>
              <w:t> </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56BD246C" w14:textId="4F5AA5AF" w:rsidR="0076251F" w:rsidRPr="00B23210" w:rsidRDefault="0076251F" w:rsidP="0076251F">
            <w:pPr>
              <w:pStyle w:val="TBodynormalNumber"/>
              <w:rPr>
                <w:rFonts w:ascii="Arial" w:hAnsi="Arial" w:cs="Arial"/>
              </w:rPr>
            </w:pPr>
            <w:r w:rsidRPr="00B23210">
              <w:rPr>
                <w:rFonts w:ascii="Arial" w:hAnsi="Arial" w:cs="Arial"/>
                <w:color w:val="000000"/>
                <w:szCs w:val="13"/>
              </w:rPr>
              <w:t> </w:t>
            </w:r>
          </w:p>
        </w:tc>
      </w:tr>
      <w:tr w:rsidR="0076251F" w:rsidRPr="00B23210" w14:paraId="77E878EA" w14:textId="0BE999C2"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7BFFC893" w14:textId="77777777" w:rsidR="0076251F" w:rsidRPr="00B23210" w:rsidRDefault="0076251F" w:rsidP="0076251F">
            <w:pPr>
              <w:pStyle w:val="TBodynormalText"/>
              <w:rPr>
                <w:rFonts w:ascii="Arial" w:hAnsi="Arial" w:cs="Arial"/>
              </w:rPr>
            </w:pPr>
            <w:r w:rsidRPr="00B23210">
              <w:rPr>
                <w:rFonts w:ascii="Arial" w:hAnsi="Arial" w:cs="Arial"/>
              </w:rPr>
              <w:t>Free Cashflow</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1EBEBA3F" w14:textId="77777777" w:rsidR="0076251F" w:rsidRPr="00B23210" w:rsidRDefault="0076251F" w:rsidP="0076251F">
            <w:pPr>
              <w:pStyle w:val="TBodynormalNumber"/>
              <w:rPr>
                <w:rFonts w:ascii="Arial" w:hAnsi="Arial" w:cs="Arial"/>
              </w:rPr>
            </w:pPr>
            <w:r w:rsidRPr="00B23210">
              <w:rPr>
                <w:rFonts w:ascii="Arial" w:hAnsi="Arial" w:cs="Arial"/>
              </w:rPr>
              <w:t>–17,8</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15FBCCB2" w14:textId="77777777" w:rsidR="0076251F" w:rsidRPr="00B23210" w:rsidRDefault="0076251F" w:rsidP="0076251F">
            <w:pPr>
              <w:pStyle w:val="TBodynormalNumber"/>
              <w:rPr>
                <w:rFonts w:ascii="Arial" w:hAnsi="Arial" w:cs="Arial"/>
              </w:rPr>
            </w:pPr>
            <w:r w:rsidRPr="00B23210">
              <w:rPr>
                <w:rFonts w:ascii="Arial" w:hAnsi="Arial" w:cs="Arial"/>
              </w:rPr>
              <w:t>–763,3</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1BBC7062" w14:textId="0AD2E2F8" w:rsidR="0076251F" w:rsidRPr="00B23210" w:rsidRDefault="0076251F" w:rsidP="0076251F">
            <w:pPr>
              <w:pStyle w:val="TBodynormalNumber"/>
              <w:rPr>
                <w:rFonts w:ascii="Arial" w:hAnsi="Arial" w:cs="Arial"/>
              </w:rPr>
            </w:pPr>
            <w:r w:rsidRPr="00B23210">
              <w:rPr>
                <w:rFonts w:ascii="Arial" w:hAnsi="Arial" w:cs="Arial"/>
                <w:color w:val="000000"/>
                <w:szCs w:val="13"/>
              </w:rPr>
              <w:t>-97,7</w:t>
            </w:r>
          </w:p>
        </w:tc>
      </w:tr>
      <w:tr w:rsidR="0076251F" w:rsidRPr="00B23210" w14:paraId="56D66143" w14:textId="1E473C5C"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2C73A850" w14:textId="77777777" w:rsidR="0076251F" w:rsidRPr="00B23210" w:rsidRDefault="0076251F" w:rsidP="0076251F">
            <w:pPr>
              <w:pStyle w:val="TBodynormalText"/>
              <w:rPr>
                <w:rFonts w:ascii="Arial" w:hAnsi="Arial" w:cs="Arial"/>
              </w:rPr>
            </w:pPr>
            <w:r w:rsidRPr="00B23210">
              <w:rPr>
                <w:rFonts w:ascii="Arial" w:hAnsi="Arial" w:cs="Arial"/>
              </w:rPr>
              <w:t> </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6C0CCFEA" w14:textId="77777777" w:rsidR="0076251F" w:rsidRPr="00B23210" w:rsidRDefault="0076251F" w:rsidP="0076251F">
            <w:pPr>
              <w:pStyle w:val="TBodynormalNumber"/>
              <w:rPr>
                <w:rFonts w:ascii="Arial" w:hAnsi="Arial" w:cs="Arial"/>
              </w:rPr>
            </w:pPr>
            <w:r w:rsidRPr="00B23210">
              <w:rPr>
                <w:rFonts w:ascii="Arial" w:hAnsi="Arial" w:cs="Arial"/>
              </w:rPr>
              <w:t> </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42912F75" w14:textId="77777777" w:rsidR="0076251F" w:rsidRPr="00B23210" w:rsidRDefault="0076251F" w:rsidP="0076251F">
            <w:pPr>
              <w:pStyle w:val="TBodynormalNumber"/>
              <w:rPr>
                <w:rFonts w:ascii="Arial" w:hAnsi="Arial" w:cs="Arial"/>
              </w:rPr>
            </w:pPr>
            <w:r w:rsidRPr="00B23210">
              <w:rPr>
                <w:rFonts w:ascii="Arial" w:hAnsi="Arial" w:cs="Arial"/>
              </w:rPr>
              <w:t> </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2DE35796" w14:textId="190C1478" w:rsidR="0076251F" w:rsidRPr="00B23210" w:rsidRDefault="0076251F" w:rsidP="0076251F">
            <w:pPr>
              <w:pStyle w:val="TBodynormalNumber"/>
              <w:rPr>
                <w:rFonts w:ascii="Arial" w:hAnsi="Arial" w:cs="Arial"/>
              </w:rPr>
            </w:pPr>
            <w:r w:rsidRPr="00B23210">
              <w:rPr>
                <w:rFonts w:ascii="Arial" w:hAnsi="Arial" w:cs="Arial"/>
                <w:color w:val="000000"/>
                <w:szCs w:val="13"/>
              </w:rPr>
              <w:t> </w:t>
            </w:r>
          </w:p>
        </w:tc>
      </w:tr>
      <w:tr w:rsidR="0076251F" w:rsidRPr="00B23210" w14:paraId="7541EC85" w14:textId="3090BFD6"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795E254C" w14:textId="77777777" w:rsidR="0076251F" w:rsidRPr="00B23210" w:rsidRDefault="0076251F" w:rsidP="0076251F">
            <w:pPr>
              <w:pStyle w:val="TBodynormalText"/>
              <w:rPr>
                <w:rFonts w:ascii="Arial" w:hAnsi="Arial" w:cs="Arial"/>
              </w:rPr>
            </w:pPr>
            <w:r w:rsidRPr="00B23210">
              <w:rPr>
                <w:rFonts w:ascii="Arial" w:hAnsi="Arial" w:cs="Arial"/>
              </w:rPr>
              <w:t>Netto-Finanzschulden (zum 31.03.)</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2BC9CC45" w14:textId="77777777" w:rsidR="0076251F" w:rsidRPr="00B23210" w:rsidRDefault="0076251F" w:rsidP="0076251F">
            <w:pPr>
              <w:pStyle w:val="TBodynormalNumber"/>
              <w:rPr>
                <w:rFonts w:ascii="Arial" w:hAnsi="Arial" w:cs="Arial"/>
              </w:rPr>
            </w:pPr>
            <w:r w:rsidRPr="00B23210">
              <w:rPr>
                <w:rFonts w:ascii="Arial" w:hAnsi="Arial" w:cs="Arial"/>
              </w:rPr>
              <w:t>4.023,5</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77AE500D" w14:textId="77777777" w:rsidR="0076251F" w:rsidRPr="00B23210" w:rsidRDefault="0076251F" w:rsidP="0076251F">
            <w:pPr>
              <w:pStyle w:val="TBodynormalNumber"/>
              <w:rPr>
                <w:rFonts w:ascii="Arial" w:hAnsi="Arial" w:cs="Arial"/>
              </w:rPr>
            </w:pPr>
            <w:r w:rsidRPr="00B23210">
              <w:rPr>
                <w:rFonts w:ascii="Arial" w:hAnsi="Arial" w:cs="Arial"/>
              </w:rPr>
              <w:t>4.302,2</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3C1C40CC" w14:textId="5759EE81" w:rsidR="0076251F" w:rsidRPr="00B23210" w:rsidRDefault="0076251F" w:rsidP="0076251F">
            <w:pPr>
              <w:pStyle w:val="TBodynormalNumber"/>
              <w:rPr>
                <w:rFonts w:ascii="Arial" w:hAnsi="Arial" w:cs="Arial"/>
              </w:rPr>
            </w:pPr>
            <w:r w:rsidRPr="00B23210">
              <w:rPr>
                <w:rFonts w:ascii="Arial" w:hAnsi="Arial" w:cs="Arial"/>
                <w:color w:val="000000"/>
                <w:szCs w:val="13"/>
              </w:rPr>
              <w:t>-6,5</w:t>
            </w:r>
          </w:p>
        </w:tc>
      </w:tr>
      <w:tr w:rsidR="0076251F" w:rsidRPr="00B23210" w14:paraId="26F3CB9F" w14:textId="02148735"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7D1B966F" w14:textId="77777777" w:rsidR="0076251F" w:rsidRPr="00B23210" w:rsidRDefault="0076251F" w:rsidP="0076251F">
            <w:pPr>
              <w:pStyle w:val="TBodynormalText"/>
              <w:rPr>
                <w:rFonts w:ascii="Arial" w:hAnsi="Arial" w:cs="Arial"/>
              </w:rPr>
            </w:pPr>
            <w:r w:rsidRPr="00B23210">
              <w:rPr>
                <w:rFonts w:ascii="Arial" w:hAnsi="Arial" w:cs="Arial"/>
              </w:rPr>
              <w:t>Gearing Ratio in %</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266724B9" w14:textId="77777777" w:rsidR="0076251F" w:rsidRPr="00B23210" w:rsidRDefault="0076251F" w:rsidP="0076251F">
            <w:pPr>
              <w:pStyle w:val="TBodynormalNumber"/>
              <w:rPr>
                <w:rFonts w:ascii="Arial" w:hAnsi="Arial" w:cs="Arial"/>
              </w:rPr>
            </w:pPr>
            <w:r w:rsidRPr="00B23210">
              <w:rPr>
                <w:rFonts w:ascii="Arial" w:hAnsi="Arial" w:cs="Arial"/>
              </w:rPr>
              <w:t>25,9</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5DF8A58C" w14:textId="77777777" w:rsidR="0076251F" w:rsidRPr="00B23210" w:rsidRDefault="0076251F" w:rsidP="0076251F">
            <w:pPr>
              <w:pStyle w:val="TBodynormalNumber"/>
              <w:rPr>
                <w:rFonts w:ascii="Arial" w:hAnsi="Arial" w:cs="Arial"/>
              </w:rPr>
            </w:pPr>
            <w:r w:rsidRPr="00B23210">
              <w:rPr>
                <w:rFonts w:ascii="Arial" w:hAnsi="Arial" w:cs="Arial"/>
              </w:rPr>
              <w:t>22,6</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68939D72" w14:textId="058B5E69" w:rsidR="0076251F" w:rsidRPr="00B23210" w:rsidRDefault="0076251F" w:rsidP="0076251F">
            <w:pPr>
              <w:pStyle w:val="TBodynormalNumber"/>
              <w:rPr>
                <w:rFonts w:ascii="Arial" w:hAnsi="Arial" w:cs="Arial"/>
              </w:rPr>
            </w:pPr>
            <w:r w:rsidRPr="00B23210">
              <w:rPr>
                <w:rFonts w:ascii="Arial" w:hAnsi="Arial" w:cs="Arial"/>
                <w:color w:val="000000"/>
                <w:szCs w:val="13"/>
              </w:rPr>
              <w:t> </w:t>
            </w:r>
          </w:p>
        </w:tc>
      </w:tr>
      <w:tr w:rsidR="0076251F" w:rsidRPr="00B23210" w14:paraId="6566310F" w14:textId="3C30C914" w:rsidTr="00BB29F3">
        <w:trPr>
          <w:trHeight w:val="247"/>
        </w:trPr>
        <w:tc>
          <w:tcPr>
            <w:tcW w:w="5812" w:type="dxa"/>
            <w:tcBorders>
              <w:top w:val="single" w:sz="4" w:space="0" w:color="727373"/>
              <w:left w:val="none" w:sz="0" w:space="0" w:color="000000"/>
              <w:bottom w:val="single" w:sz="4" w:space="0" w:color="727373"/>
              <w:right w:val="none" w:sz="0" w:space="0" w:color="000000"/>
            </w:tcBorders>
            <w:shd w:val="clear" w:color="auto" w:fill="FFFFFF"/>
            <w:vAlign w:val="bottom"/>
          </w:tcPr>
          <w:p w14:paraId="71D74B7B" w14:textId="77777777" w:rsidR="0076251F" w:rsidRPr="00B23210" w:rsidRDefault="0076251F" w:rsidP="0076251F">
            <w:pPr>
              <w:pStyle w:val="TBodynormalText"/>
              <w:rPr>
                <w:rFonts w:ascii="Arial" w:hAnsi="Arial" w:cs="Arial"/>
              </w:rPr>
            </w:pPr>
            <w:r w:rsidRPr="00B23210">
              <w:rPr>
                <w:rFonts w:ascii="Arial" w:hAnsi="Arial" w:cs="Arial"/>
              </w:rPr>
              <w:t> </w:t>
            </w:r>
          </w:p>
        </w:tc>
        <w:tc>
          <w:tcPr>
            <w:tcW w:w="1218" w:type="dxa"/>
            <w:tcBorders>
              <w:top w:val="single" w:sz="4" w:space="0" w:color="727373"/>
              <w:left w:val="none" w:sz="0" w:space="0" w:color="000000"/>
              <w:bottom w:val="single" w:sz="4" w:space="0" w:color="727373"/>
              <w:right w:val="none" w:sz="0" w:space="0" w:color="000000"/>
            </w:tcBorders>
            <w:shd w:val="clear" w:color="auto" w:fill="F0F0F1"/>
            <w:vAlign w:val="bottom"/>
          </w:tcPr>
          <w:p w14:paraId="6B779AC7" w14:textId="77777777" w:rsidR="0076251F" w:rsidRPr="00B23210" w:rsidRDefault="0076251F" w:rsidP="0076251F">
            <w:pPr>
              <w:pStyle w:val="TBodynormalNumber"/>
              <w:rPr>
                <w:rFonts w:ascii="Arial" w:hAnsi="Arial" w:cs="Arial"/>
              </w:rPr>
            </w:pPr>
            <w:r w:rsidRPr="00B23210">
              <w:rPr>
                <w:rFonts w:ascii="Arial" w:hAnsi="Arial" w:cs="Arial"/>
              </w:rPr>
              <w:t> </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FFFFF"/>
            <w:vAlign w:val="bottom"/>
          </w:tcPr>
          <w:p w14:paraId="6679B01D" w14:textId="77777777" w:rsidR="0076251F" w:rsidRPr="00B23210" w:rsidRDefault="0076251F" w:rsidP="0076251F">
            <w:pPr>
              <w:pStyle w:val="TBodynormalNumber"/>
              <w:rPr>
                <w:rFonts w:ascii="Arial" w:hAnsi="Arial" w:cs="Arial"/>
              </w:rPr>
            </w:pPr>
            <w:r w:rsidRPr="00B23210">
              <w:rPr>
                <w:rFonts w:ascii="Arial" w:hAnsi="Arial" w:cs="Arial"/>
              </w:rPr>
              <w:t> </w:t>
            </w:r>
          </w:p>
        </w:tc>
        <w:tc>
          <w:tcPr>
            <w:tcW w:w="1218" w:type="dxa"/>
            <w:gridSpan w:val="2"/>
            <w:tcBorders>
              <w:top w:val="single" w:sz="4" w:space="0" w:color="727373"/>
              <w:left w:val="none" w:sz="0" w:space="0" w:color="000000"/>
              <w:bottom w:val="single" w:sz="4" w:space="0" w:color="727373"/>
              <w:right w:val="none" w:sz="0" w:space="0" w:color="000000"/>
            </w:tcBorders>
            <w:shd w:val="clear" w:color="auto" w:fill="F2F2F2" w:themeFill="background1" w:themeFillShade="F2"/>
            <w:vAlign w:val="center"/>
          </w:tcPr>
          <w:p w14:paraId="369ED0C5" w14:textId="4EB1A342" w:rsidR="0076251F" w:rsidRPr="00B23210" w:rsidRDefault="0076251F" w:rsidP="0076251F">
            <w:pPr>
              <w:pStyle w:val="TBodynormalNumber"/>
              <w:rPr>
                <w:rFonts w:ascii="Arial" w:hAnsi="Arial" w:cs="Arial"/>
              </w:rPr>
            </w:pPr>
            <w:r w:rsidRPr="00B23210">
              <w:rPr>
                <w:rFonts w:ascii="Arial" w:hAnsi="Arial" w:cs="Arial"/>
                <w:color w:val="000000"/>
                <w:szCs w:val="13"/>
              </w:rPr>
              <w:t> </w:t>
            </w:r>
          </w:p>
        </w:tc>
      </w:tr>
      <w:tr w:rsidR="0076251F" w:rsidRPr="00B23210" w14:paraId="0FAFE366" w14:textId="0DFDE60A" w:rsidTr="00BB29F3">
        <w:trPr>
          <w:trHeight w:val="247"/>
        </w:trPr>
        <w:tc>
          <w:tcPr>
            <w:tcW w:w="5812" w:type="dxa"/>
            <w:tcBorders>
              <w:top w:val="single" w:sz="4" w:space="0" w:color="727373"/>
              <w:left w:val="none" w:sz="0" w:space="0" w:color="000000"/>
              <w:bottom w:val="single" w:sz="6" w:space="0" w:color="000000"/>
              <w:right w:val="none" w:sz="0" w:space="0" w:color="000000"/>
            </w:tcBorders>
            <w:shd w:val="clear" w:color="auto" w:fill="FFFFFF"/>
            <w:vAlign w:val="bottom"/>
          </w:tcPr>
          <w:p w14:paraId="1C74F534" w14:textId="15FD0A42" w:rsidR="0076251F" w:rsidRPr="00B23210" w:rsidRDefault="0076251F" w:rsidP="0076251F">
            <w:pPr>
              <w:pStyle w:val="TBodynormalText"/>
              <w:rPr>
                <w:rFonts w:ascii="Arial" w:hAnsi="Arial" w:cs="Arial"/>
              </w:rPr>
            </w:pPr>
            <w:r w:rsidRPr="00B23210">
              <w:rPr>
                <w:rFonts w:ascii="Arial" w:hAnsi="Arial" w:cs="Arial"/>
              </w:rPr>
              <w:t>Anzahl Mitarbeiter (zum 31.03.)</w:t>
            </w:r>
            <w:r w:rsidR="00BC01E7">
              <w:rPr>
                <w:rFonts w:ascii="Arial" w:hAnsi="Arial" w:cs="Arial"/>
                <w:vertAlign w:val="superscript"/>
              </w:rPr>
              <w:t>4</w:t>
            </w:r>
          </w:p>
        </w:tc>
        <w:tc>
          <w:tcPr>
            <w:tcW w:w="1218" w:type="dxa"/>
            <w:tcBorders>
              <w:top w:val="single" w:sz="4" w:space="0" w:color="727373"/>
              <w:left w:val="none" w:sz="0" w:space="0" w:color="000000"/>
              <w:bottom w:val="single" w:sz="6" w:space="0" w:color="000000"/>
              <w:right w:val="none" w:sz="0" w:space="0" w:color="000000"/>
            </w:tcBorders>
            <w:shd w:val="clear" w:color="auto" w:fill="F0F0F1"/>
            <w:vAlign w:val="bottom"/>
          </w:tcPr>
          <w:p w14:paraId="4DEF7CD1" w14:textId="77777777" w:rsidR="0076251F" w:rsidRPr="00B23210" w:rsidRDefault="0076251F" w:rsidP="0076251F">
            <w:pPr>
              <w:pStyle w:val="TBodynormalNumber"/>
              <w:rPr>
                <w:rFonts w:ascii="Arial" w:hAnsi="Arial" w:cs="Arial"/>
              </w:rPr>
            </w:pPr>
            <w:r w:rsidRPr="00B23210">
              <w:rPr>
                <w:rFonts w:ascii="Arial" w:hAnsi="Arial" w:cs="Arial"/>
              </w:rPr>
              <w:t>239.649</w:t>
            </w:r>
          </w:p>
        </w:tc>
        <w:tc>
          <w:tcPr>
            <w:tcW w:w="1218" w:type="dxa"/>
            <w:gridSpan w:val="2"/>
            <w:tcBorders>
              <w:top w:val="single" w:sz="4" w:space="0" w:color="727373"/>
              <w:left w:val="none" w:sz="0" w:space="0" w:color="000000"/>
              <w:bottom w:val="single" w:sz="6" w:space="0" w:color="000000"/>
              <w:right w:val="none" w:sz="0" w:space="0" w:color="000000"/>
            </w:tcBorders>
            <w:shd w:val="clear" w:color="auto" w:fill="FFFFFF"/>
            <w:vAlign w:val="bottom"/>
          </w:tcPr>
          <w:p w14:paraId="77944F37" w14:textId="77777777" w:rsidR="0076251F" w:rsidRPr="00B23210" w:rsidRDefault="0076251F" w:rsidP="0076251F">
            <w:pPr>
              <w:pStyle w:val="TBodynormalNumber"/>
              <w:rPr>
                <w:rFonts w:ascii="Arial" w:hAnsi="Arial" w:cs="Arial"/>
              </w:rPr>
            </w:pPr>
            <w:r w:rsidRPr="00B23210">
              <w:rPr>
                <w:rFonts w:ascii="Arial" w:hAnsi="Arial" w:cs="Arial"/>
              </w:rPr>
              <w:t>245.686</w:t>
            </w:r>
          </w:p>
        </w:tc>
        <w:tc>
          <w:tcPr>
            <w:tcW w:w="1218" w:type="dxa"/>
            <w:gridSpan w:val="2"/>
            <w:tcBorders>
              <w:top w:val="single" w:sz="4" w:space="0" w:color="727373"/>
              <w:left w:val="none" w:sz="0" w:space="0" w:color="000000"/>
              <w:bottom w:val="single" w:sz="6" w:space="0" w:color="000000"/>
              <w:right w:val="none" w:sz="0" w:space="0" w:color="000000"/>
            </w:tcBorders>
            <w:shd w:val="clear" w:color="auto" w:fill="F2F2F2" w:themeFill="background1" w:themeFillShade="F2"/>
            <w:vAlign w:val="center"/>
          </w:tcPr>
          <w:p w14:paraId="606EC00F" w14:textId="301F9D5C" w:rsidR="0076251F" w:rsidRPr="00B23210" w:rsidRDefault="0076251F" w:rsidP="0076251F">
            <w:pPr>
              <w:pStyle w:val="TBodynormalNumber"/>
              <w:rPr>
                <w:rFonts w:ascii="Arial" w:hAnsi="Arial" w:cs="Arial"/>
              </w:rPr>
            </w:pPr>
            <w:r w:rsidRPr="00B23210">
              <w:rPr>
                <w:rFonts w:ascii="Arial" w:hAnsi="Arial" w:cs="Arial"/>
                <w:color w:val="000000"/>
                <w:szCs w:val="13"/>
              </w:rPr>
              <w:t>-2,5</w:t>
            </w:r>
          </w:p>
        </w:tc>
      </w:tr>
      <w:tr w:rsidR="004311B7" w:rsidRPr="00B23210" w14:paraId="1E13A361" w14:textId="0B1C7E50" w:rsidTr="00BB29F3">
        <w:trPr>
          <w:trHeight w:val="8"/>
        </w:trPr>
        <w:tc>
          <w:tcPr>
            <w:tcW w:w="5812" w:type="dxa"/>
            <w:tcBorders>
              <w:top w:val="single" w:sz="6" w:space="0" w:color="000000"/>
              <w:left w:val="none" w:sz="0" w:space="0" w:color="000000"/>
              <w:bottom w:val="none" w:sz="0" w:space="0" w:color="000000"/>
              <w:right w:val="none" w:sz="0" w:space="0" w:color="000000"/>
            </w:tcBorders>
            <w:shd w:val="clear" w:color="auto" w:fill="FFFFFF"/>
            <w:vAlign w:val="bottom"/>
          </w:tcPr>
          <w:p w14:paraId="69B3819D" w14:textId="77777777" w:rsidR="004311B7" w:rsidRPr="00B23210" w:rsidRDefault="004311B7" w:rsidP="004311B7">
            <w:pPr>
              <w:pStyle w:val="TDummyRow"/>
              <w:jc w:val="left"/>
              <w:rPr>
                <w:rFonts w:ascii="Arial" w:hAnsi="Arial" w:cs="Arial"/>
              </w:rPr>
            </w:pPr>
          </w:p>
        </w:tc>
        <w:tc>
          <w:tcPr>
            <w:tcW w:w="1276" w:type="dxa"/>
            <w:gridSpan w:val="2"/>
            <w:tcBorders>
              <w:top w:val="single" w:sz="6" w:space="0" w:color="000000"/>
              <w:left w:val="none" w:sz="0" w:space="0" w:color="000000"/>
              <w:bottom w:val="none" w:sz="0" w:space="0" w:color="000000"/>
              <w:right w:val="none" w:sz="0" w:space="0" w:color="000000"/>
            </w:tcBorders>
            <w:shd w:val="clear" w:color="auto" w:fill="FFFFFF"/>
            <w:vAlign w:val="bottom"/>
          </w:tcPr>
          <w:p w14:paraId="268061C4" w14:textId="77777777" w:rsidR="004311B7" w:rsidRPr="00B23210" w:rsidRDefault="004311B7" w:rsidP="004311B7">
            <w:pPr>
              <w:pStyle w:val="TDummyRow"/>
              <w:jc w:val="left"/>
              <w:rPr>
                <w:rFonts w:ascii="Arial" w:hAnsi="Arial" w:cs="Arial"/>
              </w:rPr>
            </w:pPr>
          </w:p>
        </w:tc>
        <w:tc>
          <w:tcPr>
            <w:tcW w:w="1276" w:type="dxa"/>
            <w:gridSpan w:val="2"/>
            <w:tcBorders>
              <w:top w:val="single" w:sz="6" w:space="0" w:color="000000"/>
              <w:left w:val="none" w:sz="0" w:space="0" w:color="000000"/>
              <w:bottom w:val="none" w:sz="0" w:space="0" w:color="000000"/>
              <w:right w:val="none" w:sz="0" w:space="0" w:color="000000"/>
            </w:tcBorders>
            <w:shd w:val="clear" w:color="auto" w:fill="FFFFFF"/>
            <w:vAlign w:val="bottom"/>
          </w:tcPr>
          <w:p w14:paraId="26336E1A" w14:textId="77777777" w:rsidR="004311B7" w:rsidRPr="00B23210" w:rsidRDefault="004311B7" w:rsidP="004311B7">
            <w:pPr>
              <w:pStyle w:val="TDummyRow"/>
              <w:jc w:val="left"/>
              <w:rPr>
                <w:rFonts w:ascii="Arial" w:hAnsi="Arial" w:cs="Arial"/>
              </w:rPr>
            </w:pPr>
          </w:p>
        </w:tc>
        <w:tc>
          <w:tcPr>
            <w:tcW w:w="1102" w:type="dxa"/>
            <w:tcBorders>
              <w:top w:val="single" w:sz="6" w:space="0" w:color="000000"/>
              <w:left w:val="none" w:sz="0" w:space="0" w:color="000000"/>
              <w:bottom w:val="none" w:sz="0" w:space="0" w:color="000000"/>
              <w:right w:val="none" w:sz="0" w:space="0" w:color="000000"/>
            </w:tcBorders>
            <w:shd w:val="clear" w:color="auto" w:fill="FFFFFF"/>
          </w:tcPr>
          <w:p w14:paraId="5F267364" w14:textId="77777777" w:rsidR="004311B7" w:rsidRPr="00B23210" w:rsidRDefault="004311B7" w:rsidP="004311B7">
            <w:pPr>
              <w:pStyle w:val="TDummyRow"/>
              <w:jc w:val="left"/>
              <w:rPr>
                <w:rFonts w:ascii="Arial" w:hAnsi="Arial" w:cs="Arial"/>
              </w:rPr>
            </w:pPr>
          </w:p>
        </w:tc>
      </w:tr>
    </w:tbl>
    <w:bookmarkEnd w:id="3"/>
    <w:bookmarkEnd w:id="4"/>
    <w:p w14:paraId="62057E42" w14:textId="0D539ECF" w:rsidR="00BC01E7" w:rsidRDefault="00B1655B" w:rsidP="00B1655B">
      <w:pPr>
        <w:pStyle w:val="TNote"/>
        <w:rPr>
          <w:rFonts w:ascii="Arial" w:hAnsi="Arial" w:cs="Arial"/>
        </w:rPr>
      </w:pPr>
      <w:r w:rsidRPr="00B23210">
        <w:rPr>
          <w:rFonts w:ascii="Arial" w:hAnsi="Arial" w:cs="Arial"/>
        </w:rPr>
        <w:t>1</w:t>
      </w:r>
      <w:r w:rsidRPr="00B23210">
        <w:rPr>
          <w:rFonts w:ascii="Arial" w:hAnsi="Arial" w:cs="Arial"/>
        </w:rPr>
        <w:tab/>
      </w:r>
      <w:r w:rsidR="00BC01E7" w:rsidRPr="00B23210">
        <w:rPr>
          <w:rFonts w:ascii="Arial" w:hAnsi="Arial" w:cs="Arial"/>
        </w:rPr>
        <w:t>Investitionen in Sachanlagen und Software.</w:t>
      </w:r>
    </w:p>
    <w:p w14:paraId="726F8219" w14:textId="370ADC55" w:rsidR="00B1655B" w:rsidRPr="00B23210" w:rsidRDefault="00BC01E7" w:rsidP="00B1655B">
      <w:pPr>
        <w:pStyle w:val="TNote"/>
        <w:rPr>
          <w:rFonts w:ascii="Arial" w:hAnsi="Arial" w:cs="Arial"/>
        </w:rPr>
      </w:pPr>
      <w:r>
        <w:rPr>
          <w:rFonts w:ascii="Arial" w:hAnsi="Arial" w:cs="Arial"/>
        </w:rPr>
        <w:t>2</w:t>
      </w:r>
      <w:r w:rsidRPr="00B23210">
        <w:rPr>
          <w:rFonts w:ascii="Arial" w:hAnsi="Arial" w:cs="Arial"/>
        </w:rPr>
        <w:tab/>
      </w:r>
      <w:r w:rsidR="00B1655B" w:rsidRPr="00B23210">
        <w:rPr>
          <w:rFonts w:ascii="Arial" w:hAnsi="Arial" w:cs="Arial"/>
        </w:rPr>
        <w:t>Bereinigt um Konsolidierungskreisveränderungen.</w:t>
      </w:r>
    </w:p>
    <w:p w14:paraId="3ADEEC53" w14:textId="1C5D848A" w:rsidR="00B1655B" w:rsidRPr="00B23210" w:rsidRDefault="00BC01E7" w:rsidP="00B1655B">
      <w:pPr>
        <w:pStyle w:val="TNote"/>
        <w:rPr>
          <w:rFonts w:ascii="Arial" w:hAnsi="Arial" w:cs="Arial"/>
        </w:rPr>
      </w:pPr>
      <w:r>
        <w:rPr>
          <w:rFonts w:ascii="Arial" w:hAnsi="Arial" w:cs="Arial"/>
        </w:rPr>
        <w:t>3</w:t>
      </w:r>
      <w:r w:rsidR="00B1655B" w:rsidRPr="00B23210">
        <w:rPr>
          <w:rFonts w:ascii="Arial" w:hAnsi="Arial" w:cs="Arial"/>
        </w:rPr>
        <w:tab/>
        <w:t xml:space="preserve">Bereinigt um Abschreibungen auf immaterielle Vermögenswerte aus Kaufpreisallokation (PPA), Konsolidierungskreisveränderungen und Sondereffekte. </w:t>
      </w:r>
    </w:p>
    <w:p w14:paraId="151CEDB8" w14:textId="39D26D95" w:rsidR="00B1655B" w:rsidRPr="00B23210" w:rsidRDefault="00BC01E7" w:rsidP="00B1655B">
      <w:pPr>
        <w:pStyle w:val="TNote"/>
        <w:rPr>
          <w:rFonts w:ascii="Arial" w:hAnsi="Arial" w:cs="Arial"/>
        </w:rPr>
      </w:pPr>
      <w:r>
        <w:rPr>
          <w:rFonts w:ascii="Arial" w:hAnsi="Arial" w:cs="Arial"/>
        </w:rPr>
        <w:t>4</w:t>
      </w:r>
      <w:r w:rsidR="00B1655B" w:rsidRPr="00B23210">
        <w:rPr>
          <w:rFonts w:ascii="Arial" w:hAnsi="Arial" w:cs="Arial"/>
        </w:rPr>
        <w:tab/>
        <w:t>Ohne Auszubildende.</w:t>
      </w:r>
    </w:p>
    <w:p w14:paraId="5B1502F5" w14:textId="0F933C01" w:rsidR="002C4773" w:rsidRPr="00B23210" w:rsidRDefault="002C4773" w:rsidP="002C4773">
      <w:pPr>
        <w:pStyle w:val="04-Subhead"/>
        <w:rPr>
          <w:szCs w:val="22"/>
        </w:rPr>
      </w:pPr>
      <w:bookmarkStart w:id="5" w:name="_FLink_1T_cYbgzPräYSÜ5WqPrBf_1"/>
      <w:bookmarkEnd w:id="5"/>
      <w:r w:rsidRPr="00B23210">
        <w:rPr>
          <w:szCs w:val="22"/>
        </w:rPr>
        <w:t>Vorübergehender Produktionsstopp noch an rund ein</w:t>
      </w:r>
      <w:r w:rsidR="00A60C05" w:rsidRPr="00B23210">
        <w:rPr>
          <w:szCs w:val="22"/>
        </w:rPr>
        <w:t>em</w:t>
      </w:r>
      <w:r w:rsidRPr="00B23210">
        <w:rPr>
          <w:szCs w:val="22"/>
        </w:rPr>
        <w:t xml:space="preserve"> Fünftel der Standorte weltweit</w:t>
      </w:r>
    </w:p>
    <w:p w14:paraId="501F599A" w14:textId="33F3C3A8" w:rsidR="002C4773" w:rsidRPr="00B23210" w:rsidRDefault="002C4773" w:rsidP="002C4773">
      <w:pPr>
        <w:pStyle w:val="03-Text"/>
        <w:rPr>
          <w:rFonts w:eastAsia="Times New Roman"/>
          <w:u w:val="single"/>
        </w:rPr>
      </w:pPr>
      <w:r w:rsidRPr="00B23210">
        <w:rPr>
          <w:szCs w:val="22"/>
        </w:rPr>
        <w:t xml:space="preserve">Als Folge der Coronavirus-Pandemie hatte Continental zum Schutz der Mitarbeiter und in Reaktion auf Nachfragerückgänge seit Mitte März schrittweise an mehr als 40 Prozent der weltweit insgesamt 249 Continental-Produktionsstandorte die Produktion vorübergehend für die Dauer von wenigen Tagen bis einigen Wochen eingestellt. Seit kurzem hat das Unternehmen die Produktion an vielen Standorten wieder aufgenommen. </w:t>
      </w:r>
      <w:r w:rsidRPr="00B23210">
        <w:rPr>
          <w:shd w:val="clear" w:color="auto" w:fill="FFFFFF"/>
        </w:rPr>
        <w:t>„Ein industrieweiter Wiederanlauf aus dem Stand ist Neuland für alle. Wochenlang haben wir uns intensiv auf ihn vorbereitet. Er wird gelingen, wenn alle Elemente der Lieferkette zugleich wieder ineinandergreifen und dabei die Sicherheit der Mitarbeiter gewährleistet ist. Dafür unerlässlich ist eine enge Abstimmung von Wirtschaft und Politik auf nationaler und internationaler Ebene“</w:t>
      </w:r>
      <w:r w:rsidR="00DA2B91">
        <w:rPr>
          <w:shd w:val="clear" w:color="auto" w:fill="FFFFFF"/>
        </w:rPr>
        <w:t>,</w:t>
      </w:r>
      <w:r w:rsidRPr="00B23210">
        <w:rPr>
          <w:shd w:val="clear" w:color="auto" w:fill="FFFFFF"/>
        </w:rPr>
        <w:t xml:space="preserve"> unterstrich Degenhart. </w:t>
      </w:r>
    </w:p>
    <w:p w14:paraId="5DBD58A9" w14:textId="5C7EABF4" w:rsidR="002C4773" w:rsidRPr="00B23210" w:rsidRDefault="002C4773" w:rsidP="002C4773">
      <w:pPr>
        <w:pStyle w:val="03-Text"/>
        <w:rPr>
          <w:szCs w:val="22"/>
        </w:rPr>
      </w:pPr>
      <w:r w:rsidRPr="00B23210">
        <w:rPr>
          <w:szCs w:val="22"/>
        </w:rPr>
        <w:lastRenderedPageBreak/>
        <w:t>Stand Anfang Mai ist die Produktion noch an einem Fünftel der</w:t>
      </w:r>
      <w:r w:rsidR="00A60C05" w:rsidRPr="00B23210">
        <w:rPr>
          <w:szCs w:val="22"/>
        </w:rPr>
        <w:t xml:space="preserve"> weltweit</w:t>
      </w:r>
      <w:r w:rsidRPr="00B23210">
        <w:rPr>
          <w:szCs w:val="22"/>
        </w:rPr>
        <w:t xml:space="preserve"> insgesamt 249</w:t>
      </w:r>
      <w:r w:rsidR="004B08C8">
        <w:rPr>
          <w:szCs w:val="22"/>
        </w:rPr>
        <w:t> </w:t>
      </w:r>
      <w:r w:rsidRPr="00B23210">
        <w:rPr>
          <w:szCs w:val="22"/>
        </w:rPr>
        <w:t xml:space="preserve">Continental-Produktionsstandorte vorübergehend eingestellt. Dies trifft insbesondere auf Standorte in Nordamerika, Russland und Indien zu. In Deutschland ruht die Produktion derzeit nur noch an einem Standort. </w:t>
      </w:r>
    </w:p>
    <w:p w14:paraId="43FF44EE" w14:textId="112716DA" w:rsidR="002C4773" w:rsidRPr="00B23210" w:rsidRDefault="002C4773" w:rsidP="002C4773">
      <w:pPr>
        <w:pStyle w:val="03-Text"/>
        <w:rPr>
          <w:shd w:val="clear" w:color="auto" w:fill="FFFFFF"/>
        </w:rPr>
      </w:pPr>
      <w:r w:rsidRPr="00B23210">
        <w:rPr>
          <w:shd w:val="clear" w:color="auto" w:fill="FFFFFF"/>
        </w:rPr>
        <w:t xml:space="preserve">Infolge der vorrübergehenden Produktionsunterbrechungen und geringerer Nachfrage arbeiten weltweit derzeit rund 60 Prozent der knapp 240.000 Mitarbeiter von Continental kürzer. In Deutschland haben im April rund 30.000 Mitarbeiter aller Unternehmensteile und </w:t>
      </w:r>
      <w:r w:rsidR="00A60C05" w:rsidRPr="00B23210">
        <w:rPr>
          <w:shd w:val="clear" w:color="auto" w:fill="FFFFFF"/>
        </w:rPr>
        <w:t>-f</w:t>
      </w:r>
      <w:r w:rsidRPr="00B23210">
        <w:rPr>
          <w:shd w:val="clear" w:color="auto" w:fill="FFFFFF"/>
        </w:rPr>
        <w:t>unktionen an durchschnittlich 6 Tagen kurzgearbeitet. Auch im Mai nimmt Continental hier aufgrund der andauernden Coronavirus-Pandemie und des weiterhin unsicheren wirtschaftlichen Umfelds weiter Kurzarbeit in Anspruch. Der Grad der Inanspruchnahme richtet sich dabei nach lokalen Gegebenheiten.</w:t>
      </w:r>
    </w:p>
    <w:p w14:paraId="330429C4" w14:textId="77777777" w:rsidR="002C4773" w:rsidRPr="00B23210" w:rsidRDefault="002C4773" w:rsidP="002C4773">
      <w:pPr>
        <w:pStyle w:val="04-Subhead"/>
      </w:pPr>
      <w:r w:rsidRPr="00B23210">
        <w:t>Vorstand verzichtet drei weitere Monate auf Gehaltsanteile</w:t>
      </w:r>
    </w:p>
    <w:p w14:paraId="41C30CBC" w14:textId="729E236D" w:rsidR="002C4773" w:rsidRPr="00B23210" w:rsidRDefault="002C4773" w:rsidP="002C4773">
      <w:pPr>
        <w:pStyle w:val="03-Text"/>
      </w:pPr>
      <w:r w:rsidRPr="00B23210">
        <w:t xml:space="preserve">Als Zeichen der Solidarität mit den von </w:t>
      </w:r>
      <w:r w:rsidR="00B60A71" w:rsidRPr="00B23210">
        <w:t>den Auswirkungen der Corona-Krise</w:t>
      </w:r>
      <w:r w:rsidRPr="00B23210">
        <w:t xml:space="preserve"> weltweit </w:t>
      </w:r>
      <w:r w:rsidR="00B60A71" w:rsidRPr="00B23210">
        <w:t>betroffenen</w:t>
      </w:r>
      <w:r w:rsidRPr="00B23210">
        <w:t xml:space="preserve"> </w:t>
      </w:r>
      <w:r w:rsidR="00B60A71" w:rsidRPr="00B23210">
        <w:t>Continental-</w:t>
      </w:r>
      <w:r w:rsidRPr="00B23210">
        <w:t>Mitarbeiter</w:t>
      </w:r>
      <w:r w:rsidR="00B60A71" w:rsidRPr="00B23210">
        <w:t>n</w:t>
      </w:r>
      <w:r w:rsidRPr="00B23210">
        <w:t xml:space="preserve"> hat der Vorstand beschlossen</w:t>
      </w:r>
      <w:r w:rsidR="00A60C05" w:rsidRPr="00B23210">
        <w:t>,</w:t>
      </w:r>
      <w:r w:rsidRPr="00B23210">
        <w:t xml:space="preserve"> seinen zunächst auf einen Monat angelegten Verzicht auf 10 Prozent </w:t>
      </w:r>
      <w:r w:rsidR="00B60A71" w:rsidRPr="00B23210">
        <w:t>seines Festgehalts</w:t>
      </w:r>
      <w:r w:rsidRPr="00B23210">
        <w:t xml:space="preserve"> um drei weitere Monate bis Ende Juli zu verlängern. </w:t>
      </w:r>
    </w:p>
    <w:p w14:paraId="6F85D4A1" w14:textId="06101B8A" w:rsidR="00B80BC7" w:rsidRPr="00B23210" w:rsidRDefault="00B80BC7" w:rsidP="00B80BC7">
      <w:pPr>
        <w:pStyle w:val="04-Subhead"/>
      </w:pPr>
      <w:r w:rsidRPr="00B23210">
        <w:t>Weltweites Schutzkonzept für pandemiesichere Produktion</w:t>
      </w:r>
    </w:p>
    <w:p w14:paraId="00CB10C8" w14:textId="6C708133" w:rsidR="00B80BC7" w:rsidRPr="00B23210" w:rsidRDefault="00B80BC7" w:rsidP="00B80BC7">
      <w:pPr>
        <w:pStyle w:val="03-Text"/>
      </w:pPr>
      <w:r w:rsidRPr="00B23210">
        <w:t xml:space="preserve">Um eine pandemiesichere Produktion sicherzustellen, hat das Unternehmen ein ganzheitliches Konzept entwickelt, das an allen Standorten weltweit </w:t>
      </w:r>
      <w:r w:rsidR="00AD35A0" w:rsidRPr="00B23210">
        <w:t xml:space="preserve">bereits </w:t>
      </w:r>
      <w:r w:rsidRPr="00B23210">
        <w:t xml:space="preserve">Anwendung findet. </w:t>
      </w:r>
      <w:bookmarkStart w:id="6" w:name="_Hlk39480652"/>
      <w:r w:rsidRPr="00B23210">
        <w:t xml:space="preserve">Auf Basis einer Gefährdungsbeurteilung aller Arbeitsplätze werden zielgerichtet vielfältige Schutzmaßnahmen getroffen, wie z.B. die Installation von Plexiglasabtrennungen, </w:t>
      </w:r>
      <w:r w:rsidR="00A60C05" w:rsidRPr="00B23210">
        <w:t xml:space="preserve">eine </w:t>
      </w:r>
      <w:r w:rsidR="00792776" w:rsidRPr="00B23210">
        <w:t xml:space="preserve">beträchtliche </w:t>
      </w:r>
      <w:r w:rsidRPr="00B23210">
        <w:t>Erhöhung der Reinigungsintervalle an allen Standorten, verkürzte oder versetz</w:t>
      </w:r>
      <w:r w:rsidR="000A00EC">
        <w:t>t</w:t>
      </w:r>
      <w:r w:rsidRPr="00B23210">
        <w:t xml:space="preserve">e Schichten, Schichtübergaben ohne persönlichen Kontakt </w:t>
      </w:r>
      <w:r w:rsidR="00A60C05" w:rsidRPr="00B23210">
        <w:t xml:space="preserve">sowie </w:t>
      </w:r>
      <w:r w:rsidRPr="00B23210">
        <w:t>verlängerte Kantinenzeiten und größere Sitzabstände in Kantinen und Pausenräumen.</w:t>
      </w:r>
      <w:bookmarkEnd w:id="6"/>
    </w:p>
    <w:p w14:paraId="6A911332" w14:textId="23A46883" w:rsidR="00B80BC7" w:rsidRPr="00B23210" w:rsidRDefault="00B80BC7" w:rsidP="00B80BC7">
      <w:pPr>
        <w:pStyle w:val="03-Text"/>
      </w:pPr>
      <w:r w:rsidRPr="00B23210">
        <w:t xml:space="preserve">Mitarbeiter, die nicht in der Produktion tätig sind, arbeiten </w:t>
      </w:r>
      <w:r w:rsidR="00BF6AFE" w:rsidRPr="00B23210">
        <w:t>mehrheitlich</w:t>
      </w:r>
      <w:r w:rsidRPr="00B23210">
        <w:t xml:space="preserve"> im Homeoffice, um die Zahl der persönlichen Kontakte </w:t>
      </w:r>
      <w:r w:rsidR="00245907" w:rsidRPr="00B23210">
        <w:t xml:space="preserve">bei der Arbeit </w:t>
      </w:r>
      <w:r w:rsidRPr="00B23210">
        <w:t xml:space="preserve">so niedrig wie möglich zu halten. </w:t>
      </w:r>
      <w:r w:rsidR="00E151B8" w:rsidRPr="00B23210">
        <w:t xml:space="preserve">Ein globales Konzept gewährt den Mitarbeitern ausreichenden Gesundheitsschutz beim Ausüben </w:t>
      </w:r>
      <w:r w:rsidRPr="00B23210">
        <w:t>bestimmte</w:t>
      </w:r>
      <w:r w:rsidR="00E151B8" w:rsidRPr="00B23210">
        <w:t>r</w:t>
      </w:r>
      <w:r w:rsidRPr="00B23210">
        <w:t xml:space="preserve"> Tätigkeiten </w:t>
      </w:r>
      <w:r w:rsidR="00E151B8" w:rsidRPr="00B23210">
        <w:t>in allen Räumlichkeiten des Unternehmens.</w:t>
      </w:r>
    </w:p>
    <w:p w14:paraId="5A9A4A17" w14:textId="084F1246" w:rsidR="00B80BC7" w:rsidRPr="00B23210" w:rsidRDefault="00FE349F" w:rsidP="00B80BC7">
      <w:pPr>
        <w:pStyle w:val="04-Subhead"/>
      </w:pPr>
      <w:r w:rsidRPr="00B23210">
        <w:lastRenderedPageBreak/>
        <w:t xml:space="preserve">Schutzmasken: </w:t>
      </w:r>
      <w:r w:rsidR="00F228DF" w:rsidRPr="00B23210">
        <w:t>Abdeckung des Eigenbedarfs mittels e</w:t>
      </w:r>
      <w:r w:rsidRPr="00B23210">
        <w:t>igene</w:t>
      </w:r>
      <w:r w:rsidR="00F228DF" w:rsidRPr="00B23210">
        <w:t>r</w:t>
      </w:r>
      <w:r w:rsidRPr="00B23210">
        <w:t xml:space="preserve"> Produktion</w:t>
      </w:r>
    </w:p>
    <w:p w14:paraId="61B697BD" w14:textId="3A15A6A5" w:rsidR="00B80BC7" w:rsidRPr="00B23210" w:rsidRDefault="00B80BC7" w:rsidP="00B80BC7">
      <w:pPr>
        <w:pStyle w:val="03-Text"/>
      </w:pPr>
      <w:r w:rsidRPr="00B23210">
        <w:t xml:space="preserve">Das Schutzkonzept von Continental sieht grundsätzlich die Verwendung von </w:t>
      </w:r>
      <w:r w:rsidR="00262878" w:rsidRPr="00B23210">
        <w:t>Schutzmasken</w:t>
      </w:r>
      <w:r w:rsidRPr="00B23210">
        <w:t xml:space="preserve"> vor.</w:t>
      </w:r>
      <w:r w:rsidR="004B08C8">
        <w:t xml:space="preserve"> </w:t>
      </w:r>
      <w:r w:rsidRPr="00B23210">
        <w:t xml:space="preserve">Der Einsatz der unterschiedlichen Maskentypen erfolgt </w:t>
      </w:r>
      <w:r w:rsidR="00E151B8" w:rsidRPr="00B23210">
        <w:t>gemäß</w:t>
      </w:r>
      <w:r w:rsidRPr="00B23210">
        <w:t xml:space="preserve"> einer Risikobewertung der Arbeitsplätze. </w:t>
      </w:r>
      <w:bookmarkStart w:id="7" w:name="_Hlk39481001"/>
      <w:r w:rsidR="00E151B8" w:rsidRPr="00B23210">
        <w:t xml:space="preserve">Den zusätzlichen Bedarf an </w:t>
      </w:r>
      <w:r w:rsidR="00262878" w:rsidRPr="00B23210">
        <w:t>Schutzm</w:t>
      </w:r>
      <w:r w:rsidR="00E151B8" w:rsidRPr="00B23210">
        <w:t>asken</w:t>
      </w:r>
      <w:r w:rsidRPr="00B23210">
        <w:t xml:space="preserve"> wird Continental </w:t>
      </w:r>
      <w:r w:rsidR="00BF6AFE" w:rsidRPr="00B23210">
        <w:t xml:space="preserve">ab September </w:t>
      </w:r>
      <w:r w:rsidR="00D317F0" w:rsidRPr="00B23210">
        <w:t xml:space="preserve">2020 </w:t>
      </w:r>
      <w:r w:rsidR="00E151B8" w:rsidRPr="00B23210">
        <w:t>über eine eigene Herstellung decken</w:t>
      </w:r>
      <w:r w:rsidRPr="00B23210">
        <w:t xml:space="preserve">. </w:t>
      </w:r>
      <w:bookmarkEnd w:id="7"/>
      <w:r w:rsidRPr="00B23210">
        <w:t xml:space="preserve">„Die Produktion eigener </w:t>
      </w:r>
      <w:r w:rsidR="00262878" w:rsidRPr="00B23210">
        <w:t>Masken</w:t>
      </w:r>
      <w:r w:rsidRPr="00B23210">
        <w:t xml:space="preserve"> ist eine bewusste Entscheidung</w:t>
      </w:r>
      <w:r w:rsidR="00EE2B0C" w:rsidRPr="00B23210">
        <w:t xml:space="preserve"> für den Schutz der </w:t>
      </w:r>
      <w:r w:rsidRPr="00B23210">
        <w:t xml:space="preserve">Gesundheit und </w:t>
      </w:r>
      <w:r w:rsidR="00EE2B0C" w:rsidRPr="00B23210">
        <w:t xml:space="preserve">die </w:t>
      </w:r>
      <w:r w:rsidRPr="00B23210">
        <w:t xml:space="preserve">Sicherheit unserer Mitarbeiter. Gleichzeitig möchten wir damit die angespannte Situation auf dem </w:t>
      </w:r>
      <w:r w:rsidR="00EE2B0C" w:rsidRPr="00B23210">
        <w:t xml:space="preserve">freien </w:t>
      </w:r>
      <w:r w:rsidRPr="00B23210">
        <w:t xml:space="preserve">Markt </w:t>
      </w:r>
      <w:r w:rsidR="00EE2B0C" w:rsidRPr="00B23210">
        <w:t xml:space="preserve">für </w:t>
      </w:r>
      <w:r w:rsidR="00CD3524" w:rsidRPr="00B23210">
        <w:t>Schutzm</w:t>
      </w:r>
      <w:r w:rsidRPr="00B23210">
        <w:t xml:space="preserve">asken, die dringend im Gesundheitswesen benötigt werden, </w:t>
      </w:r>
      <w:r w:rsidR="00EE2B0C" w:rsidRPr="00B23210">
        <w:t>ein wenig erleichtern</w:t>
      </w:r>
      <w:r w:rsidRPr="00B23210">
        <w:t>“, so Degenhart.</w:t>
      </w:r>
      <w:r w:rsidR="00F228DF" w:rsidRPr="00B23210">
        <w:t xml:space="preserve"> Dazu errichtet Continental Produktionslinien in Deutschland, </w:t>
      </w:r>
      <w:r w:rsidR="003F1130" w:rsidRPr="00B23210">
        <w:t>USA</w:t>
      </w:r>
      <w:r w:rsidR="00F228DF" w:rsidRPr="00B23210">
        <w:t xml:space="preserve"> und </w:t>
      </w:r>
      <w:r w:rsidR="00D73C2C" w:rsidRPr="00B23210">
        <w:t>Ch</w:t>
      </w:r>
      <w:r w:rsidR="00F228DF" w:rsidRPr="00B23210">
        <w:t>ina</w:t>
      </w:r>
      <w:r w:rsidR="00A60C05" w:rsidRPr="00B23210">
        <w:t>,</w:t>
      </w:r>
      <w:r w:rsidR="00F228DF" w:rsidRPr="00B23210">
        <w:t xml:space="preserve"> </w:t>
      </w:r>
      <w:r w:rsidR="00576CB2" w:rsidRPr="00B23210">
        <w:t xml:space="preserve">um ihren Eigenbedarf </w:t>
      </w:r>
      <w:r w:rsidR="004960A2" w:rsidRPr="00B23210">
        <w:t xml:space="preserve">an Schutzmasken von </w:t>
      </w:r>
      <w:r w:rsidR="00017135" w:rsidRPr="00B23210">
        <w:t>derzeit knapp einer</w:t>
      </w:r>
      <w:r w:rsidR="004960A2" w:rsidRPr="00B23210">
        <w:t xml:space="preserve"> Millionen Masken pro </w:t>
      </w:r>
      <w:r w:rsidR="00017135" w:rsidRPr="00B23210">
        <w:t>Woche</w:t>
      </w:r>
      <w:r w:rsidR="004960A2" w:rsidRPr="00B23210">
        <w:t xml:space="preserve"> zu decken.</w:t>
      </w:r>
    </w:p>
    <w:p w14:paraId="6C1DBEBE" w14:textId="29C7CC91" w:rsidR="006C041B" w:rsidRPr="00B23210" w:rsidRDefault="00641B64" w:rsidP="000908D0">
      <w:pPr>
        <w:pStyle w:val="03-Text"/>
        <w:rPr>
          <w:shd w:val="clear" w:color="auto" w:fill="FFFFFF"/>
        </w:rPr>
      </w:pPr>
      <w:r w:rsidRPr="00B23210">
        <w:rPr>
          <w:shd w:val="clear" w:color="auto" w:fill="FFFFFF"/>
        </w:rPr>
        <w:t>Zum Ende des ersten Quartals 2020 waren im Konzern 239.649 Mitarbeiter beschäftigt. Dies entspricht einem Rückgang um 1.809 Personen im Vergleich zum Jahresende 2019.</w:t>
      </w:r>
    </w:p>
    <w:p w14:paraId="2A33B3BC" w14:textId="082F51BB" w:rsidR="00285167" w:rsidRPr="00B23210" w:rsidRDefault="00285167" w:rsidP="009D7033">
      <w:pPr>
        <w:pStyle w:val="04-Subhead"/>
        <w:rPr>
          <w:rFonts w:cs="Arial"/>
          <w:szCs w:val="22"/>
          <w:lang w:bidi="de-DE"/>
        </w:rPr>
      </w:pPr>
      <w:bookmarkStart w:id="8" w:name="_Hlk39586306"/>
      <w:r w:rsidRPr="00B23210">
        <w:rPr>
          <w:rFonts w:cs="Arial"/>
          <w:szCs w:val="22"/>
          <w:lang w:bidi="de-DE"/>
        </w:rPr>
        <w:t>Kennzahlen Unternehmensbereiche</w:t>
      </w:r>
    </w:p>
    <w:tbl>
      <w:tblPr>
        <w:tblOverlap w:val="never"/>
        <w:tblW w:w="9674" w:type="dxa"/>
        <w:tblLayout w:type="fixed"/>
        <w:tblCellMar>
          <w:left w:w="0" w:type="dxa"/>
          <w:right w:w="0" w:type="dxa"/>
        </w:tblCellMar>
        <w:tblLook w:val="04A0" w:firstRow="1" w:lastRow="0" w:firstColumn="1" w:lastColumn="0" w:noHBand="0" w:noVBand="1"/>
        <w:tblDescription w:val="_FLink_1T_UQkEHcZ5DuZöDöNciU_1&#10;_FLink_1T_UW8öYUXVPJFüüXajbJ_1"/>
      </w:tblPr>
      <w:tblGrid>
        <w:gridCol w:w="5567"/>
        <w:gridCol w:w="1369"/>
        <w:gridCol w:w="1369"/>
        <w:gridCol w:w="1369"/>
      </w:tblGrid>
      <w:tr w:rsidR="00A538A1" w:rsidRPr="00B23210" w14:paraId="5E8CA12B" w14:textId="6700FBDD" w:rsidTr="00FF6E37">
        <w:trPr>
          <w:trHeight w:val="343"/>
        </w:trPr>
        <w:tc>
          <w:tcPr>
            <w:tcW w:w="5567" w:type="dxa"/>
            <w:tcBorders>
              <w:top w:val="single" w:sz="6" w:space="0" w:color="000000"/>
              <w:left w:val="none" w:sz="0" w:space="0" w:color="000000"/>
              <w:bottom w:val="none" w:sz="0" w:space="0" w:color="000000"/>
              <w:right w:val="none" w:sz="0" w:space="0" w:color="000000"/>
            </w:tcBorders>
            <w:shd w:val="clear" w:color="auto" w:fill="FFFFFF"/>
            <w:vAlign w:val="bottom"/>
          </w:tcPr>
          <w:p w14:paraId="36623887" w14:textId="77777777" w:rsidR="00A538A1" w:rsidRPr="00B23210" w:rsidRDefault="00A538A1" w:rsidP="00725F48">
            <w:pPr>
              <w:pStyle w:val="THeadfirstText"/>
              <w:rPr>
                <w:rFonts w:ascii="Arial" w:hAnsi="Arial" w:cs="Arial"/>
              </w:rPr>
            </w:pPr>
            <w:r w:rsidRPr="00B23210">
              <w:rPr>
                <w:rFonts w:ascii="Arial" w:hAnsi="Arial" w:cs="Arial"/>
              </w:rPr>
              <w:t> </w:t>
            </w:r>
          </w:p>
        </w:tc>
        <w:tc>
          <w:tcPr>
            <w:tcW w:w="4107" w:type="dxa"/>
            <w:gridSpan w:val="3"/>
            <w:tcBorders>
              <w:top w:val="single" w:sz="6" w:space="0" w:color="000000"/>
              <w:left w:val="none" w:sz="0" w:space="0" w:color="000000"/>
              <w:bottom w:val="single" w:sz="6" w:space="0" w:color="000000"/>
              <w:right w:val="none" w:sz="0" w:space="0" w:color="000000"/>
            </w:tcBorders>
            <w:shd w:val="clear" w:color="auto" w:fill="FFFFFF"/>
            <w:vAlign w:val="bottom"/>
          </w:tcPr>
          <w:p w14:paraId="2BCB3DC1" w14:textId="33970A52" w:rsidR="00A538A1" w:rsidRPr="00B23210" w:rsidRDefault="00A538A1" w:rsidP="00725F48">
            <w:pPr>
              <w:pStyle w:val="THeadfirstNumber"/>
              <w:jc w:val="center"/>
              <w:rPr>
                <w:rFonts w:ascii="Arial" w:hAnsi="Arial" w:cs="Arial"/>
              </w:rPr>
            </w:pPr>
            <w:r w:rsidRPr="00B23210">
              <w:rPr>
                <w:rFonts w:ascii="Arial" w:hAnsi="Arial" w:cs="Arial"/>
              </w:rPr>
              <w:t>1. Januar bis 31. März</w:t>
            </w:r>
          </w:p>
        </w:tc>
      </w:tr>
      <w:tr w:rsidR="00285167" w:rsidRPr="00B23210" w14:paraId="3FC728A2" w14:textId="0B1C9C77" w:rsidTr="00BB29F3">
        <w:trPr>
          <w:trHeight w:val="228"/>
        </w:trPr>
        <w:tc>
          <w:tcPr>
            <w:tcW w:w="5567" w:type="dxa"/>
            <w:tcBorders>
              <w:top w:val="none" w:sz="0" w:space="0" w:color="000000"/>
              <w:left w:val="none" w:sz="0" w:space="0" w:color="000000"/>
              <w:bottom w:val="single" w:sz="6" w:space="0" w:color="000000"/>
              <w:right w:val="none" w:sz="0" w:space="0" w:color="000000"/>
            </w:tcBorders>
            <w:shd w:val="clear" w:color="auto" w:fill="FFFFFF"/>
            <w:vAlign w:val="bottom"/>
          </w:tcPr>
          <w:p w14:paraId="540FCF5A" w14:textId="77777777" w:rsidR="00285167" w:rsidRPr="00B23210" w:rsidRDefault="00285167" w:rsidP="00725F48">
            <w:pPr>
              <w:pStyle w:val="THeadlastText"/>
              <w:rPr>
                <w:rFonts w:ascii="Arial" w:hAnsi="Arial" w:cs="Arial"/>
                <w:b/>
                <w:bCs/>
              </w:rPr>
            </w:pPr>
            <w:r w:rsidRPr="00B23210">
              <w:rPr>
                <w:rFonts w:ascii="Arial" w:hAnsi="Arial" w:cs="Arial"/>
                <w:b/>
                <w:bCs/>
              </w:rPr>
              <w:t>Automotive Technologies in Mio</w:t>
            </w:r>
            <w:r w:rsidRPr="00B23210">
              <w:rPr>
                <w:rFonts w:ascii="Arial" w:hAnsi="Arial" w:cs="Arial"/>
                <w:b/>
                <w:bCs/>
                <w:sz w:val="8"/>
              </w:rPr>
              <w:t> </w:t>
            </w:r>
            <w:r w:rsidRPr="00B23210">
              <w:rPr>
                <w:rFonts w:ascii="Arial" w:hAnsi="Arial" w:cs="Arial"/>
                <w:b/>
                <w:bCs/>
              </w:rPr>
              <w:t>€</w:t>
            </w:r>
          </w:p>
        </w:tc>
        <w:tc>
          <w:tcPr>
            <w:tcW w:w="1369" w:type="dxa"/>
            <w:tcBorders>
              <w:top w:val="single" w:sz="6" w:space="0" w:color="000000"/>
              <w:left w:val="none" w:sz="0" w:space="0" w:color="000000"/>
              <w:bottom w:val="single" w:sz="6" w:space="0" w:color="000000"/>
              <w:right w:val="none" w:sz="0" w:space="0" w:color="000000"/>
            </w:tcBorders>
            <w:shd w:val="clear" w:color="auto" w:fill="FFFFFF"/>
            <w:vAlign w:val="bottom"/>
          </w:tcPr>
          <w:p w14:paraId="7D929CA3" w14:textId="77777777" w:rsidR="00285167" w:rsidRPr="00B23210" w:rsidRDefault="00285167" w:rsidP="00725F48">
            <w:pPr>
              <w:pStyle w:val="THeadlastNumber"/>
              <w:rPr>
                <w:rFonts w:ascii="Arial" w:hAnsi="Arial" w:cs="Arial"/>
              </w:rPr>
            </w:pPr>
            <w:r w:rsidRPr="00B23210">
              <w:rPr>
                <w:rFonts w:ascii="Arial" w:hAnsi="Arial" w:cs="Arial"/>
              </w:rPr>
              <w:t>2020</w:t>
            </w:r>
          </w:p>
        </w:tc>
        <w:tc>
          <w:tcPr>
            <w:tcW w:w="1369" w:type="dxa"/>
            <w:tcBorders>
              <w:top w:val="single" w:sz="6" w:space="0" w:color="000000"/>
              <w:left w:val="none" w:sz="0" w:space="0" w:color="000000"/>
              <w:bottom w:val="single" w:sz="6" w:space="0" w:color="000000"/>
              <w:right w:val="none" w:sz="0" w:space="0" w:color="000000"/>
            </w:tcBorders>
            <w:shd w:val="clear" w:color="auto" w:fill="FFFFFF"/>
            <w:vAlign w:val="bottom"/>
          </w:tcPr>
          <w:p w14:paraId="7C901D76" w14:textId="77777777" w:rsidR="00285167" w:rsidRPr="00B23210" w:rsidRDefault="00285167" w:rsidP="00725F48">
            <w:pPr>
              <w:pStyle w:val="THeadlastNumber"/>
              <w:rPr>
                <w:rFonts w:ascii="Arial" w:hAnsi="Arial" w:cs="Arial"/>
              </w:rPr>
            </w:pPr>
            <w:r w:rsidRPr="00B23210">
              <w:rPr>
                <w:rFonts w:ascii="Arial" w:hAnsi="Arial" w:cs="Arial"/>
              </w:rPr>
              <w:t>2019</w:t>
            </w:r>
          </w:p>
        </w:tc>
        <w:tc>
          <w:tcPr>
            <w:tcW w:w="1369" w:type="dxa"/>
            <w:tcBorders>
              <w:top w:val="single" w:sz="6" w:space="0" w:color="000000"/>
              <w:left w:val="none" w:sz="0" w:space="0" w:color="000000"/>
              <w:bottom w:val="single" w:sz="6" w:space="0" w:color="000000"/>
              <w:right w:val="none" w:sz="0" w:space="0" w:color="000000"/>
            </w:tcBorders>
            <w:shd w:val="clear" w:color="auto" w:fill="FFFFFF"/>
          </w:tcPr>
          <w:p w14:paraId="63AB3142" w14:textId="3BF0BB9E" w:rsidR="00285167" w:rsidRPr="00B23210" w:rsidRDefault="00285167" w:rsidP="00725F48">
            <w:pPr>
              <w:pStyle w:val="THeadlastNumber"/>
              <w:rPr>
                <w:rFonts w:ascii="Arial" w:hAnsi="Arial" w:cs="Arial"/>
              </w:rPr>
            </w:pPr>
            <w:r w:rsidRPr="00B23210">
              <w:rPr>
                <w:rFonts w:ascii="Arial" w:hAnsi="Arial" w:cs="Arial"/>
                <w:lang w:eastAsia="de-DE" w:bidi="de-DE"/>
              </w:rPr>
              <w:t>Δ in %</w:t>
            </w:r>
          </w:p>
        </w:tc>
      </w:tr>
      <w:tr w:rsidR="00307BC9" w:rsidRPr="00B23210" w14:paraId="42A755A8" w14:textId="5F2B41CE" w:rsidTr="00BB29F3">
        <w:trPr>
          <w:trHeight w:val="228"/>
        </w:trPr>
        <w:tc>
          <w:tcPr>
            <w:tcW w:w="5567" w:type="dxa"/>
            <w:tcBorders>
              <w:top w:val="single" w:sz="6" w:space="0" w:color="000000"/>
              <w:left w:val="none" w:sz="0" w:space="0" w:color="000000"/>
              <w:bottom w:val="single" w:sz="4" w:space="0" w:color="727373"/>
              <w:right w:val="none" w:sz="0" w:space="0" w:color="000000"/>
            </w:tcBorders>
            <w:shd w:val="clear" w:color="auto" w:fill="FFFFFF"/>
            <w:vAlign w:val="bottom"/>
          </w:tcPr>
          <w:p w14:paraId="566EB6ED" w14:textId="77777777" w:rsidR="00307BC9" w:rsidRPr="00B23210" w:rsidRDefault="00307BC9" w:rsidP="00307BC9">
            <w:pPr>
              <w:pStyle w:val="TBodynormalText"/>
              <w:rPr>
                <w:rFonts w:ascii="Arial" w:hAnsi="Arial" w:cs="Arial"/>
              </w:rPr>
            </w:pPr>
            <w:r w:rsidRPr="00B23210">
              <w:rPr>
                <w:rFonts w:ascii="Arial" w:hAnsi="Arial" w:cs="Arial"/>
              </w:rPr>
              <w:t>Umsatz</w:t>
            </w:r>
          </w:p>
        </w:tc>
        <w:tc>
          <w:tcPr>
            <w:tcW w:w="1369" w:type="dxa"/>
            <w:tcBorders>
              <w:top w:val="single" w:sz="6" w:space="0" w:color="000000"/>
              <w:left w:val="none" w:sz="0" w:space="0" w:color="000000"/>
              <w:bottom w:val="single" w:sz="4" w:space="0" w:color="727373"/>
              <w:right w:val="none" w:sz="0" w:space="0" w:color="000000"/>
            </w:tcBorders>
            <w:shd w:val="clear" w:color="auto" w:fill="F0F0F1"/>
            <w:vAlign w:val="bottom"/>
          </w:tcPr>
          <w:p w14:paraId="706C8766" w14:textId="77777777" w:rsidR="00307BC9" w:rsidRPr="00B23210" w:rsidRDefault="00307BC9" w:rsidP="00307BC9">
            <w:pPr>
              <w:pStyle w:val="TBodynormalNumber"/>
              <w:rPr>
                <w:rFonts w:ascii="Arial" w:hAnsi="Arial" w:cs="Arial"/>
              </w:rPr>
            </w:pPr>
            <w:r w:rsidRPr="00B23210">
              <w:rPr>
                <w:rFonts w:ascii="Arial" w:hAnsi="Arial" w:cs="Arial"/>
              </w:rPr>
              <w:t>4.111,7</w:t>
            </w:r>
          </w:p>
        </w:tc>
        <w:tc>
          <w:tcPr>
            <w:tcW w:w="1369" w:type="dxa"/>
            <w:tcBorders>
              <w:top w:val="single" w:sz="6" w:space="0" w:color="000000"/>
              <w:left w:val="none" w:sz="0" w:space="0" w:color="000000"/>
              <w:bottom w:val="single" w:sz="4" w:space="0" w:color="727373"/>
              <w:right w:val="none" w:sz="0" w:space="0" w:color="000000"/>
            </w:tcBorders>
            <w:shd w:val="clear" w:color="auto" w:fill="FFFFFF"/>
            <w:vAlign w:val="bottom"/>
          </w:tcPr>
          <w:p w14:paraId="0E934413" w14:textId="77777777" w:rsidR="00307BC9" w:rsidRPr="00B23210" w:rsidRDefault="00307BC9" w:rsidP="00307BC9">
            <w:pPr>
              <w:pStyle w:val="TBodynormalNumber"/>
              <w:rPr>
                <w:rFonts w:ascii="Arial" w:hAnsi="Arial" w:cs="Arial"/>
              </w:rPr>
            </w:pPr>
            <w:r w:rsidRPr="00B23210">
              <w:rPr>
                <w:rFonts w:ascii="Arial" w:hAnsi="Arial" w:cs="Arial"/>
              </w:rPr>
              <w:t>4.737,8</w:t>
            </w:r>
          </w:p>
        </w:tc>
        <w:tc>
          <w:tcPr>
            <w:tcW w:w="1369" w:type="dxa"/>
            <w:tcBorders>
              <w:top w:val="single" w:sz="6" w:space="0" w:color="000000"/>
              <w:left w:val="none" w:sz="0" w:space="0" w:color="000000"/>
              <w:bottom w:val="single" w:sz="4" w:space="0" w:color="727373"/>
              <w:right w:val="none" w:sz="0" w:space="0" w:color="000000"/>
            </w:tcBorders>
            <w:shd w:val="clear" w:color="auto" w:fill="auto"/>
            <w:vAlign w:val="center"/>
          </w:tcPr>
          <w:p w14:paraId="1988767F" w14:textId="107BFAFF" w:rsidR="00307BC9" w:rsidRPr="00B23210" w:rsidRDefault="00307BC9" w:rsidP="00307BC9">
            <w:pPr>
              <w:pStyle w:val="TBodynormalNumber"/>
              <w:rPr>
                <w:rFonts w:ascii="Arial" w:hAnsi="Arial" w:cs="Arial"/>
              </w:rPr>
            </w:pPr>
            <w:r w:rsidRPr="00B23210">
              <w:rPr>
                <w:rFonts w:ascii="Arial" w:hAnsi="Arial" w:cs="Arial"/>
                <w:color w:val="000000"/>
                <w:szCs w:val="13"/>
              </w:rPr>
              <w:t>-13,2</w:t>
            </w:r>
          </w:p>
        </w:tc>
      </w:tr>
      <w:tr w:rsidR="00307BC9" w:rsidRPr="00B23210" w14:paraId="04D5D1B0" w14:textId="36EE48CB" w:rsidTr="00BB29F3">
        <w:trPr>
          <w:trHeight w:val="228"/>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288DF62F" w14:textId="77777777" w:rsidR="00307BC9" w:rsidRPr="00B23210" w:rsidRDefault="00307BC9" w:rsidP="00307BC9">
            <w:pPr>
              <w:pStyle w:val="TBodynormalText"/>
              <w:rPr>
                <w:rFonts w:ascii="Arial" w:hAnsi="Arial" w:cs="Arial"/>
              </w:rPr>
            </w:pPr>
            <w:r w:rsidRPr="00B23210">
              <w:rPr>
                <w:rFonts w:ascii="Arial" w:hAnsi="Arial" w:cs="Arial"/>
              </w:rPr>
              <w:t>EBITDA</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692A2EFB" w14:textId="77777777" w:rsidR="00307BC9" w:rsidRPr="00B23210" w:rsidRDefault="00307BC9" w:rsidP="00307BC9">
            <w:pPr>
              <w:pStyle w:val="TBodynormalNumber"/>
              <w:rPr>
                <w:rFonts w:ascii="Arial" w:hAnsi="Arial" w:cs="Arial"/>
              </w:rPr>
            </w:pPr>
            <w:r w:rsidRPr="00B23210">
              <w:rPr>
                <w:rFonts w:ascii="Arial" w:hAnsi="Arial" w:cs="Arial"/>
              </w:rPr>
              <w:t>427,4</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12593F15" w14:textId="77777777" w:rsidR="00307BC9" w:rsidRPr="00B23210" w:rsidRDefault="00307BC9" w:rsidP="00307BC9">
            <w:pPr>
              <w:pStyle w:val="TBodynormalNumber"/>
              <w:rPr>
                <w:rFonts w:ascii="Arial" w:hAnsi="Arial" w:cs="Arial"/>
              </w:rPr>
            </w:pPr>
            <w:r w:rsidRPr="00B23210">
              <w:rPr>
                <w:rFonts w:ascii="Arial" w:hAnsi="Arial" w:cs="Arial"/>
              </w:rPr>
              <w:t>505,5</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6E6B578E" w14:textId="7F58C8FF" w:rsidR="00307BC9" w:rsidRPr="00B23210" w:rsidRDefault="00307BC9" w:rsidP="00307BC9">
            <w:pPr>
              <w:pStyle w:val="TBodynormalNumber"/>
              <w:rPr>
                <w:rFonts w:ascii="Arial" w:hAnsi="Arial" w:cs="Arial"/>
              </w:rPr>
            </w:pPr>
            <w:r w:rsidRPr="00B23210">
              <w:rPr>
                <w:rFonts w:ascii="Arial" w:hAnsi="Arial" w:cs="Arial"/>
                <w:color w:val="000000"/>
                <w:szCs w:val="13"/>
              </w:rPr>
              <w:t>-15,5</w:t>
            </w:r>
          </w:p>
        </w:tc>
      </w:tr>
      <w:tr w:rsidR="00307BC9" w:rsidRPr="00B23210" w14:paraId="1F540804" w14:textId="3B555039" w:rsidTr="00BB29F3">
        <w:trPr>
          <w:trHeight w:val="257"/>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19DA043D" w14:textId="77777777" w:rsidR="00307BC9" w:rsidRPr="00B23210" w:rsidRDefault="00307BC9" w:rsidP="00307BC9">
            <w:pPr>
              <w:pStyle w:val="TBodynormalText"/>
              <w:rPr>
                <w:rFonts w:ascii="Arial" w:hAnsi="Arial" w:cs="Arial"/>
              </w:rPr>
            </w:pPr>
            <w:r w:rsidRPr="00B23210">
              <w:rPr>
                <w:rFonts w:ascii="Arial" w:hAnsi="Arial" w:cs="Arial"/>
              </w:rPr>
              <w:t>in % vom Umsatz</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5BE14D95" w14:textId="77777777" w:rsidR="00307BC9" w:rsidRPr="00B23210" w:rsidRDefault="00307BC9" w:rsidP="00307BC9">
            <w:pPr>
              <w:pStyle w:val="TBodynormalNumber"/>
              <w:rPr>
                <w:rFonts w:ascii="Arial" w:hAnsi="Arial" w:cs="Arial"/>
              </w:rPr>
            </w:pPr>
            <w:r w:rsidRPr="00B23210">
              <w:rPr>
                <w:rFonts w:ascii="Arial" w:hAnsi="Arial" w:cs="Arial"/>
              </w:rPr>
              <w:t>10,4</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6D6A3A86" w14:textId="77777777" w:rsidR="00307BC9" w:rsidRPr="00B23210" w:rsidRDefault="00307BC9" w:rsidP="00307BC9">
            <w:pPr>
              <w:pStyle w:val="TBodynormalNumber"/>
              <w:rPr>
                <w:rFonts w:ascii="Arial" w:hAnsi="Arial" w:cs="Arial"/>
              </w:rPr>
            </w:pPr>
            <w:r w:rsidRPr="00B23210">
              <w:rPr>
                <w:rFonts w:ascii="Arial" w:hAnsi="Arial" w:cs="Arial"/>
              </w:rPr>
              <w:t>10,7</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52F361D0" w14:textId="7887F233" w:rsidR="00307BC9" w:rsidRPr="00B23210" w:rsidRDefault="00307BC9" w:rsidP="00307BC9">
            <w:pPr>
              <w:pStyle w:val="TBodynormalNumber"/>
              <w:rPr>
                <w:rFonts w:ascii="Arial" w:hAnsi="Arial" w:cs="Arial"/>
              </w:rPr>
            </w:pPr>
            <w:r w:rsidRPr="00B23210">
              <w:rPr>
                <w:rFonts w:ascii="Arial" w:hAnsi="Arial" w:cs="Arial"/>
                <w:color w:val="000000"/>
                <w:szCs w:val="13"/>
              </w:rPr>
              <w:t> </w:t>
            </w:r>
          </w:p>
        </w:tc>
      </w:tr>
      <w:tr w:rsidR="00307BC9" w:rsidRPr="00B23210" w14:paraId="65646F20" w14:textId="0ED98FA5" w:rsidTr="00BB29F3">
        <w:trPr>
          <w:trHeight w:val="257"/>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75C43321" w14:textId="77777777" w:rsidR="00307BC9" w:rsidRPr="00B23210" w:rsidRDefault="00307BC9" w:rsidP="00307BC9">
            <w:pPr>
              <w:pStyle w:val="TBodynormalText"/>
              <w:rPr>
                <w:rFonts w:ascii="Arial" w:hAnsi="Arial" w:cs="Arial"/>
              </w:rPr>
            </w:pPr>
            <w:r w:rsidRPr="00B23210">
              <w:rPr>
                <w:rFonts w:ascii="Arial" w:hAnsi="Arial" w:cs="Arial"/>
                <w:noProof/>
              </w:rPr>
              <w:t>EBIT</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02EA633E" w14:textId="77777777" w:rsidR="00307BC9" w:rsidRPr="00B23210" w:rsidRDefault="00307BC9" w:rsidP="00307BC9">
            <w:pPr>
              <w:pStyle w:val="TBodynormalNumber"/>
              <w:rPr>
                <w:rFonts w:ascii="Arial" w:hAnsi="Arial" w:cs="Arial"/>
              </w:rPr>
            </w:pPr>
            <w:r w:rsidRPr="00B23210">
              <w:rPr>
                <w:rFonts w:ascii="Arial" w:hAnsi="Arial" w:cs="Arial"/>
              </w:rPr>
              <w:t>151,2</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74EDE483" w14:textId="77777777" w:rsidR="00307BC9" w:rsidRPr="00B23210" w:rsidRDefault="00307BC9" w:rsidP="00307BC9">
            <w:pPr>
              <w:pStyle w:val="TBodynormalNumber"/>
              <w:rPr>
                <w:rFonts w:ascii="Arial" w:hAnsi="Arial" w:cs="Arial"/>
              </w:rPr>
            </w:pPr>
            <w:r w:rsidRPr="00B23210">
              <w:rPr>
                <w:rFonts w:ascii="Arial" w:hAnsi="Arial" w:cs="Arial"/>
              </w:rPr>
              <w:t>260,1</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4B6876BF" w14:textId="0C23DFF7" w:rsidR="00307BC9" w:rsidRPr="00B23210" w:rsidRDefault="00307BC9" w:rsidP="00307BC9">
            <w:pPr>
              <w:pStyle w:val="TBodynormalNumber"/>
              <w:rPr>
                <w:rFonts w:ascii="Arial" w:hAnsi="Arial" w:cs="Arial"/>
              </w:rPr>
            </w:pPr>
            <w:r w:rsidRPr="00B23210">
              <w:rPr>
                <w:rFonts w:ascii="Arial" w:hAnsi="Arial" w:cs="Arial"/>
                <w:color w:val="000000"/>
                <w:szCs w:val="13"/>
              </w:rPr>
              <w:t>-41,9</w:t>
            </w:r>
          </w:p>
        </w:tc>
      </w:tr>
      <w:tr w:rsidR="00307BC9" w:rsidRPr="00B23210" w14:paraId="2382C50B" w14:textId="2D91121E" w:rsidTr="00BB29F3">
        <w:trPr>
          <w:trHeight w:val="228"/>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59080101" w14:textId="77777777" w:rsidR="00307BC9" w:rsidRPr="00B23210" w:rsidRDefault="00307BC9" w:rsidP="00307BC9">
            <w:pPr>
              <w:pStyle w:val="TBodynormalText"/>
              <w:rPr>
                <w:rFonts w:ascii="Arial" w:hAnsi="Arial" w:cs="Arial"/>
              </w:rPr>
            </w:pPr>
            <w:r w:rsidRPr="00B23210">
              <w:rPr>
                <w:rFonts w:ascii="Arial" w:hAnsi="Arial" w:cs="Arial"/>
              </w:rPr>
              <w:t>in % vom Umsatz</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231B7029" w14:textId="77777777" w:rsidR="00307BC9" w:rsidRPr="00B23210" w:rsidRDefault="00307BC9" w:rsidP="00307BC9">
            <w:pPr>
              <w:pStyle w:val="TBodynormalNumber"/>
              <w:rPr>
                <w:rFonts w:ascii="Arial" w:hAnsi="Arial" w:cs="Arial"/>
              </w:rPr>
            </w:pPr>
            <w:r w:rsidRPr="00B23210">
              <w:rPr>
                <w:rFonts w:ascii="Arial" w:hAnsi="Arial" w:cs="Arial"/>
              </w:rPr>
              <w:t>3,7</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6EAAA4D7" w14:textId="77777777" w:rsidR="00307BC9" w:rsidRPr="00B23210" w:rsidRDefault="00307BC9" w:rsidP="00307BC9">
            <w:pPr>
              <w:pStyle w:val="TBodynormalNumber"/>
              <w:rPr>
                <w:rFonts w:ascii="Arial" w:hAnsi="Arial" w:cs="Arial"/>
              </w:rPr>
            </w:pPr>
            <w:r w:rsidRPr="00B23210">
              <w:rPr>
                <w:rFonts w:ascii="Arial" w:hAnsi="Arial" w:cs="Arial"/>
              </w:rPr>
              <w:t>5,5</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3170D28E" w14:textId="2CBC28DE" w:rsidR="00307BC9" w:rsidRPr="00B23210" w:rsidRDefault="00307BC9" w:rsidP="00307BC9">
            <w:pPr>
              <w:pStyle w:val="TBodynormalNumber"/>
              <w:rPr>
                <w:rFonts w:ascii="Arial" w:hAnsi="Arial" w:cs="Arial"/>
              </w:rPr>
            </w:pPr>
            <w:r w:rsidRPr="00B23210">
              <w:rPr>
                <w:rFonts w:ascii="Arial" w:hAnsi="Arial" w:cs="Arial"/>
                <w:color w:val="000000"/>
                <w:szCs w:val="13"/>
              </w:rPr>
              <w:t> </w:t>
            </w:r>
          </w:p>
        </w:tc>
      </w:tr>
      <w:tr w:rsidR="00307BC9" w:rsidRPr="00B23210" w14:paraId="5B5DA99F" w14:textId="73E8A57E" w:rsidTr="00BB29F3">
        <w:trPr>
          <w:trHeight w:val="257"/>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6ACDF110" w14:textId="37984CDA" w:rsidR="00307BC9" w:rsidRPr="00B23210" w:rsidRDefault="00307BC9" w:rsidP="00307BC9">
            <w:pPr>
              <w:pStyle w:val="TBodynormalText"/>
              <w:rPr>
                <w:rFonts w:ascii="Arial" w:hAnsi="Arial" w:cs="Arial"/>
              </w:rPr>
            </w:pPr>
            <w:r w:rsidRPr="00B23210">
              <w:rPr>
                <w:rFonts w:ascii="Arial" w:hAnsi="Arial" w:cs="Arial"/>
              </w:rPr>
              <w:t>Forschungs- und Entwicklungskosten (netto)</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79A5EA3F" w14:textId="20678BF3" w:rsidR="00307BC9" w:rsidRPr="00B23210" w:rsidRDefault="00307BC9" w:rsidP="00307BC9">
            <w:pPr>
              <w:pStyle w:val="TBodynormalNumber"/>
              <w:rPr>
                <w:rFonts w:ascii="Arial" w:hAnsi="Arial" w:cs="Arial"/>
              </w:rPr>
            </w:pPr>
            <w:r w:rsidRPr="00B23210">
              <w:rPr>
                <w:rFonts w:ascii="Arial" w:hAnsi="Arial" w:cs="Arial"/>
              </w:rPr>
              <w:t>605,4</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6D186167" w14:textId="59123E44" w:rsidR="00307BC9" w:rsidRPr="00B23210" w:rsidRDefault="00307BC9" w:rsidP="00307BC9">
            <w:pPr>
              <w:pStyle w:val="TBodynormalNumber"/>
              <w:rPr>
                <w:rFonts w:ascii="Arial" w:hAnsi="Arial" w:cs="Arial"/>
              </w:rPr>
            </w:pPr>
            <w:r w:rsidRPr="00B23210">
              <w:rPr>
                <w:rFonts w:ascii="Arial" w:hAnsi="Arial" w:cs="Arial"/>
              </w:rPr>
              <w:t>601,2</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3F21BE4C" w14:textId="5753CDFC" w:rsidR="00307BC9" w:rsidRPr="00B23210" w:rsidRDefault="00307BC9" w:rsidP="00307BC9">
            <w:pPr>
              <w:pStyle w:val="TBodynormalNumber"/>
              <w:rPr>
                <w:rFonts w:ascii="Arial" w:hAnsi="Arial" w:cs="Arial"/>
              </w:rPr>
            </w:pPr>
            <w:r w:rsidRPr="00B23210">
              <w:rPr>
                <w:rFonts w:ascii="Arial" w:hAnsi="Arial" w:cs="Arial"/>
                <w:color w:val="000000"/>
                <w:szCs w:val="13"/>
              </w:rPr>
              <w:t>0,7</w:t>
            </w:r>
          </w:p>
        </w:tc>
      </w:tr>
      <w:tr w:rsidR="00307BC9" w:rsidRPr="00B23210" w14:paraId="2DCCDEF3" w14:textId="7AB79C68" w:rsidTr="00BB29F3">
        <w:trPr>
          <w:trHeight w:val="228"/>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334126AF" w14:textId="05A95798" w:rsidR="00307BC9" w:rsidRPr="00B23210" w:rsidRDefault="00307BC9" w:rsidP="00BB29F3">
            <w:pPr>
              <w:pStyle w:val="TBodynormalText"/>
              <w:rPr>
                <w:rFonts w:ascii="Arial" w:hAnsi="Arial" w:cs="Arial"/>
              </w:rPr>
            </w:pPr>
            <w:r w:rsidRPr="00B23210">
              <w:rPr>
                <w:rFonts w:ascii="Arial" w:hAnsi="Arial" w:cs="Arial"/>
              </w:rPr>
              <w:t>in % vom Umsatz</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6575CCF5" w14:textId="098826D7" w:rsidR="00307BC9" w:rsidRPr="00B23210" w:rsidRDefault="00307BC9" w:rsidP="00307BC9">
            <w:pPr>
              <w:pStyle w:val="TBodynormalNumber"/>
              <w:rPr>
                <w:rFonts w:ascii="Arial" w:hAnsi="Arial" w:cs="Arial"/>
              </w:rPr>
            </w:pPr>
            <w:r w:rsidRPr="00B23210">
              <w:rPr>
                <w:rFonts w:ascii="Arial" w:hAnsi="Arial" w:cs="Arial"/>
              </w:rPr>
              <w:t>14,7</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7344B47C" w14:textId="04EBE0A4" w:rsidR="00307BC9" w:rsidRPr="00B23210" w:rsidRDefault="00307BC9" w:rsidP="00307BC9">
            <w:pPr>
              <w:pStyle w:val="TBodynormalNumber"/>
              <w:rPr>
                <w:rFonts w:ascii="Arial" w:hAnsi="Arial" w:cs="Arial"/>
              </w:rPr>
            </w:pPr>
            <w:r w:rsidRPr="00B23210">
              <w:rPr>
                <w:rFonts w:ascii="Arial" w:hAnsi="Arial" w:cs="Arial"/>
              </w:rPr>
              <w:t>12,7</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70F84128" w14:textId="23D9FC5B" w:rsidR="00307BC9" w:rsidRPr="00B23210" w:rsidRDefault="00307BC9" w:rsidP="00307BC9">
            <w:pPr>
              <w:pStyle w:val="TBodynormalNumber"/>
              <w:rPr>
                <w:rFonts w:ascii="Arial" w:hAnsi="Arial" w:cs="Arial"/>
              </w:rPr>
            </w:pPr>
            <w:r w:rsidRPr="00B23210">
              <w:rPr>
                <w:rFonts w:ascii="Arial" w:hAnsi="Arial" w:cs="Arial"/>
                <w:color w:val="000000"/>
                <w:szCs w:val="13"/>
              </w:rPr>
              <w:t> </w:t>
            </w:r>
          </w:p>
        </w:tc>
      </w:tr>
      <w:tr w:rsidR="00307BC9" w:rsidRPr="00B23210" w14:paraId="2E6D416F" w14:textId="0D02D33E" w:rsidTr="00BB29F3">
        <w:trPr>
          <w:trHeight w:val="257"/>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2791EB51" w14:textId="7D94F74A" w:rsidR="00307BC9" w:rsidRPr="00B23210" w:rsidRDefault="00307BC9" w:rsidP="00307BC9">
            <w:pPr>
              <w:pStyle w:val="TBodynormalText"/>
              <w:rPr>
                <w:rFonts w:ascii="Arial" w:hAnsi="Arial" w:cs="Arial"/>
              </w:rPr>
            </w:pPr>
            <w:r w:rsidRPr="00B23210">
              <w:rPr>
                <w:rFonts w:ascii="Arial" w:hAnsi="Arial" w:cs="Arial"/>
              </w:rPr>
              <w:t>Investitionen</w:t>
            </w:r>
            <w:r w:rsidR="004B08C8">
              <w:rPr>
                <w:rFonts w:ascii="Arial" w:hAnsi="Arial" w:cs="Arial"/>
                <w:vertAlign w:val="superscript"/>
              </w:rPr>
              <w:t>1</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23FD5081" w14:textId="77777777" w:rsidR="00307BC9" w:rsidRPr="00B23210" w:rsidRDefault="00307BC9" w:rsidP="00307BC9">
            <w:pPr>
              <w:pStyle w:val="TBodynormalNumber"/>
              <w:rPr>
                <w:rFonts w:ascii="Arial" w:hAnsi="Arial" w:cs="Arial"/>
              </w:rPr>
            </w:pPr>
            <w:r w:rsidRPr="00B23210">
              <w:rPr>
                <w:rFonts w:ascii="Arial" w:hAnsi="Arial" w:cs="Arial"/>
              </w:rPr>
              <w:t>193,6</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480622AE" w14:textId="77777777" w:rsidR="00307BC9" w:rsidRPr="00B23210" w:rsidRDefault="00307BC9" w:rsidP="00307BC9">
            <w:pPr>
              <w:pStyle w:val="TBodynormalNumber"/>
              <w:rPr>
                <w:rFonts w:ascii="Arial" w:hAnsi="Arial" w:cs="Arial"/>
              </w:rPr>
            </w:pPr>
            <w:r w:rsidRPr="00B23210">
              <w:rPr>
                <w:rFonts w:ascii="Arial" w:hAnsi="Arial" w:cs="Arial"/>
              </w:rPr>
              <w:t>261,9</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406E9A23" w14:textId="451232C9" w:rsidR="00307BC9" w:rsidRPr="00B23210" w:rsidRDefault="00307BC9" w:rsidP="00307BC9">
            <w:pPr>
              <w:pStyle w:val="TBodynormalNumber"/>
              <w:rPr>
                <w:rFonts w:ascii="Arial" w:hAnsi="Arial" w:cs="Arial"/>
              </w:rPr>
            </w:pPr>
            <w:r w:rsidRPr="00B23210">
              <w:rPr>
                <w:rFonts w:ascii="Arial" w:hAnsi="Arial" w:cs="Arial"/>
                <w:color w:val="000000"/>
                <w:szCs w:val="13"/>
              </w:rPr>
              <w:t>-26,1</w:t>
            </w:r>
          </w:p>
        </w:tc>
      </w:tr>
      <w:tr w:rsidR="00307BC9" w:rsidRPr="00B23210" w14:paraId="2E2272B6" w14:textId="2A050733" w:rsidTr="00BB29F3">
        <w:trPr>
          <w:trHeight w:val="257"/>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3073F918" w14:textId="77777777" w:rsidR="00307BC9" w:rsidRPr="00B23210" w:rsidRDefault="00307BC9" w:rsidP="00307BC9">
            <w:pPr>
              <w:pStyle w:val="TBodynormalText"/>
              <w:rPr>
                <w:rFonts w:ascii="Arial" w:hAnsi="Arial" w:cs="Arial"/>
              </w:rPr>
            </w:pPr>
            <w:r w:rsidRPr="00B23210">
              <w:rPr>
                <w:rFonts w:ascii="Arial" w:hAnsi="Arial" w:cs="Arial"/>
              </w:rPr>
              <w:t>in % vom Umsatz</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6C27E947" w14:textId="77777777" w:rsidR="00307BC9" w:rsidRPr="00B23210" w:rsidRDefault="00307BC9" w:rsidP="00307BC9">
            <w:pPr>
              <w:pStyle w:val="TBodynormalNumber"/>
              <w:rPr>
                <w:rFonts w:ascii="Arial" w:hAnsi="Arial" w:cs="Arial"/>
              </w:rPr>
            </w:pPr>
            <w:r w:rsidRPr="00B23210">
              <w:rPr>
                <w:rFonts w:ascii="Arial" w:hAnsi="Arial" w:cs="Arial"/>
              </w:rPr>
              <w:t>4,7</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522D47A5" w14:textId="77777777" w:rsidR="00307BC9" w:rsidRPr="00B23210" w:rsidRDefault="00307BC9" w:rsidP="00307BC9">
            <w:pPr>
              <w:pStyle w:val="TBodynormalNumber"/>
              <w:rPr>
                <w:rFonts w:ascii="Arial" w:hAnsi="Arial" w:cs="Arial"/>
              </w:rPr>
            </w:pPr>
            <w:r w:rsidRPr="00B23210">
              <w:rPr>
                <w:rFonts w:ascii="Arial" w:hAnsi="Arial" w:cs="Arial"/>
              </w:rPr>
              <w:t>5,5</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1DF20732" w14:textId="653BFA73" w:rsidR="00307BC9" w:rsidRPr="00B23210" w:rsidRDefault="00307BC9" w:rsidP="00307BC9">
            <w:pPr>
              <w:pStyle w:val="TBodynormalNumber"/>
              <w:rPr>
                <w:rFonts w:ascii="Arial" w:hAnsi="Arial" w:cs="Arial"/>
              </w:rPr>
            </w:pPr>
            <w:r w:rsidRPr="00B23210">
              <w:rPr>
                <w:rFonts w:ascii="Arial" w:hAnsi="Arial" w:cs="Arial"/>
                <w:color w:val="000000"/>
                <w:szCs w:val="13"/>
              </w:rPr>
              <w:t> </w:t>
            </w:r>
          </w:p>
        </w:tc>
      </w:tr>
      <w:tr w:rsidR="00307BC9" w:rsidRPr="00B23210" w14:paraId="7EA8D000" w14:textId="440DC48E" w:rsidTr="00BB29F3">
        <w:trPr>
          <w:trHeight w:val="228"/>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7A978DED" w14:textId="53E76CAD" w:rsidR="00307BC9" w:rsidRPr="00B23210" w:rsidRDefault="00307BC9" w:rsidP="00307BC9">
            <w:pPr>
              <w:pStyle w:val="TBodynormalText"/>
              <w:rPr>
                <w:rFonts w:ascii="Arial" w:hAnsi="Arial" w:cs="Arial"/>
              </w:rPr>
            </w:pP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232CA6D3" w14:textId="66DD53DF" w:rsidR="00307BC9" w:rsidRPr="00B23210" w:rsidRDefault="00307BC9" w:rsidP="00307BC9">
            <w:pPr>
              <w:pStyle w:val="TBodynormalNumber"/>
              <w:rPr>
                <w:rFonts w:ascii="Arial" w:hAnsi="Arial" w:cs="Arial"/>
              </w:rPr>
            </w:pP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0308AB85" w14:textId="5C8EA1AD" w:rsidR="00307BC9" w:rsidRPr="00B23210" w:rsidRDefault="00307BC9" w:rsidP="00307BC9">
            <w:pPr>
              <w:pStyle w:val="TBodynormalNumber"/>
              <w:rPr>
                <w:rFonts w:ascii="Arial" w:hAnsi="Arial" w:cs="Arial"/>
              </w:rPr>
            </w:pP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5F3A60BD" w14:textId="3AC7514C" w:rsidR="00307BC9" w:rsidRPr="00B23210" w:rsidRDefault="00307BC9" w:rsidP="00307BC9">
            <w:pPr>
              <w:pStyle w:val="TBodynormalNumber"/>
              <w:rPr>
                <w:rFonts w:ascii="Arial" w:hAnsi="Arial" w:cs="Arial"/>
              </w:rPr>
            </w:pPr>
            <w:r w:rsidRPr="00B23210">
              <w:rPr>
                <w:rFonts w:ascii="Arial" w:hAnsi="Arial" w:cs="Arial"/>
                <w:color w:val="000000"/>
                <w:szCs w:val="13"/>
              </w:rPr>
              <w:t> </w:t>
            </w:r>
          </w:p>
        </w:tc>
      </w:tr>
      <w:tr w:rsidR="00307BC9" w:rsidRPr="00B23210" w14:paraId="748725C4" w14:textId="3BE85D59" w:rsidTr="00BB29F3">
        <w:trPr>
          <w:trHeight w:val="257"/>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2D40832B" w14:textId="5414BB61" w:rsidR="00307BC9" w:rsidRPr="00B23210" w:rsidRDefault="00307BC9" w:rsidP="00307BC9">
            <w:pPr>
              <w:pStyle w:val="TBodynormalText"/>
              <w:rPr>
                <w:rFonts w:ascii="Arial" w:hAnsi="Arial" w:cs="Arial"/>
              </w:rPr>
            </w:pPr>
            <w:r w:rsidRPr="00B23210">
              <w:rPr>
                <w:rFonts w:ascii="Arial" w:hAnsi="Arial" w:cs="Arial"/>
              </w:rPr>
              <w:t>Anzahl Mitarbeiter (zum 31.03.)</w:t>
            </w:r>
            <w:r w:rsidR="004B08C8">
              <w:rPr>
                <w:rFonts w:ascii="Arial" w:hAnsi="Arial" w:cs="Arial"/>
                <w:vertAlign w:val="superscript"/>
              </w:rPr>
              <w:t>2</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1EF4DA12" w14:textId="77777777" w:rsidR="00307BC9" w:rsidRPr="00B23210" w:rsidRDefault="00307BC9" w:rsidP="00307BC9">
            <w:pPr>
              <w:pStyle w:val="TBodynormalNumber"/>
              <w:rPr>
                <w:rFonts w:ascii="Arial" w:hAnsi="Arial" w:cs="Arial"/>
              </w:rPr>
            </w:pPr>
            <w:r w:rsidRPr="00B23210">
              <w:rPr>
                <w:rFonts w:ascii="Arial" w:hAnsi="Arial" w:cs="Arial"/>
              </w:rPr>
              <w:t>97.735</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325EA906" w14:textId="77777777" w:rsidR="00307BC9" w:rsidRPr="00B23210" w:rsidRDefault="00307BC9" w:rsidP="00307BC9">
            <w:pPr>
              <w:pStyle w:val="TBodynormalNumber"/>
              <w:rPr>
                <w:rFonts w:ascii="Arial" w:hAnsi="Arial" w:cs="Arial"/>
              </w:rPr>
            </w:pPr>
            <w:r w:rsidRPr="00B23210">
              <w:rPr>
                <w:rFonts w:ascii="Arial" w:hAnsi="Arial" w:cs="Arial"/>
              </w:rPr>
              <w:t>98.091</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5C51F067" w14:textId="6633149F" w:rsidR="00307BC9" w:rsidRPr="00B23210" w:rsidRDefault="00307BC9" w:rsidP="00307BC9">
            <w:pPr>
              <w:pStyle w:val="TBodynormalNumber"/>
              <w:rPr>
                <w:rFonts w:ascii="Arial" w:hAnsi="Arial" w:cs="Arial"/>
              </w:rPr>
            </w:pPr>
            <w:r w:rsidRPr="00B23210">
              <w:rPr>
                <w:rFonts w:ascii="Arial" w:hAnsi="Arial" w:cs="Arial"/>
                <w:color w:val="000000"/>
                <w:szCs w:val="13"/>
              </w:rPr>
              <w:t>-0,4</w:t>
            </w:r>
          </w:p>
        </w:tc>
      </w:tr>
      <w:tr w:rsidR="00307BC9" w:rsidRPr="00B23210" w14:paraId="7FF9D456" w14:textId="1BD4D1BD" w:rsidTr="00BB29F3">
        <w:trPr>
          <w:trHeight w:val="228"/>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7FC0C131" w14:textId="77777777" w:rsidR="00307BC9" w:rsidRPr="00B23210" w:rsidRDefault="00307BC9" w:rsidP="00307BC9">
            <w:pPr>
              <w:pStyle w:val="TBodynormalText"/>
              <w:rPr>
                <w:rFonts w:ascii="Arial" w:hAnsi="Arial" w:cs="Arial"/>
              </w:rPr>
            </w:pPr>
            <w:r w:rsidRPr="00B23210">
              <w:rPr>
                <w:rFonts w:ascii="Arial" w:hAnsi="Arial" w:cs="Arial"/>
              </w:rPr>
              <w:t> </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20C071B5" w14:textId="77777777" w:rsidR="00307BC9" w:rsidRPr="00B23210" w:rsidRDefault="00307BC9" w:rsidP="00307BC9">
            <w:pPr>
              <w:pStyle w:val="TBodynormalNumber"/>
              <w:rPr>
                <w:rFonts w:ascii="Arial" w:hAnsi="Arial" w:cs="Arial"/>
              </w:rPr>
            </w:pPr>
            <w:r w:rsidRPr="00B23210">
              <w:rPr>
                <w:rFonts w:ascii="Arial" w:hAnsi="Arial" w:cs="Arial"/>
              </w:rPr>
              <w:t> </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11D6FECE" w14:textId="77777777" w:rsidR="00307BC9" w:rsidRPr="00B23210" w:rsidRDefault="00307BC9" w:rsidP="00307BC9">
            <w:pPr>
              <w:pStyle w:val="TBodynormalNumber"/>
              <w:rPr>
                <w:rFonts w:ascii="Arial" w:hAnsi="Arial" w:cs="Arial"/>
              </w:rPr>
            </w:pPr>
            <w:r w:rsidRPr="00B23210">
              <w:rPr>
                <w:rFonts w:ascii="Arial" w:hAnsi="Arial" w:cs="Arial"/>
              </w:rPr>
              <w:t> </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4E7F0172" w14:textId="06D22636" w:rsidR="00307BC9" w:rsidRPr="00B23210" w:rsidRDefault="00307BC9" w:rsidP="00307BC9">
            <w:pPr>
              <w:pStyle w:val="TBodynormalNumber"/>
              <w:rPr>
                <w:rFonts w:ascii="Arial" w:hAnsi="Arial" w:cs="Arial"/>
              </w:rPr>
            </w:pPr>
            <w:r w:rsidRPr="00B23210">
              <w:rPr>
                <w:rFonts w:ascii="Arial" w:hAnsi="Arial" w:cs="Arial"/>
                <w:color w:val="000000"/>
                <w:szCs w:val="13"/>
              </w:rPr>
              <w:t> </w:t>
            </w:r>
          </w:p>
        </w:tc>
      </w:tr>
      <w:tr w:rsidR="00307BC9" w:rsidRPr="00B23210" w14:paraId="624FEB58" w14:textId="0C642A04" w:rsidTr="00BB29F3">
        <w:trPr>
          <w:trHeight w:val="257"/>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2E53ED97" w14:textId="5B7241CA" w:rsidR="00307BC9" w:rsidRPr="00B23210" w:rsidRDefault="00307BC9" w:rsidP="00307BC9">
            <w:pPr>
              <w:pStyle w:val="TBodynormalText"/>
              <w:rPr>
                <w:rFonts w:ascii="Arial" w:hAnsi="Arial" w:cs="Arial"/>
              </w:rPr>
            </w:pPr>
            <w:r w:rsidRPr="00B23210">
              <w:rPr>
                <w:rFonts w:ascii="Arial" w:hAnsi="Arial" w:cs="Arial"/>
              </w:rPr>
              <w:t>Umsatz bereinigt</w:t>
            </w:r>
            <w:r w:rsidR="004B08C8">
              <w:rPr>
                <w:rFonts w:ascii="Arial" w:hAnsi="Arial" w:cs="Arial"/>
                <w:vertAlign w:val="superscript"/>
              </w:rPr>
              <w:t>3</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64CE878E" w14:textId="77777777" w:rsidR="00307BC9" w:rsidRPr="00B23210" w:rsidRDefault="00307BC9" w:rsidP="00307BC9">
            <w:pPr>
              <w:pStyle w:val="TBodynormalNumber"/>
              <w:rPr>
                <w:rFonts w:ascii="Arial" w:hAnsi="Arial" w:cs="Arial"/>
              </w:rPr>
            </w:pPr>
            <w:r w:rsidRPr="00B23210">
              <w:rPr>
                <w:rFonts w:ascii="Arial" w:hAnsi="Arial" w:cs="Arial"/>
              </w:rPr>
              <w:t>4.097,9</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62333A49" w14:textId="77777777" w:rsidR="00307BC9" w:rsidRPr="00B23210" w:rsidRDefault="00307BC9" w:rsidP="00307BC9">
            <w:pPr>
              <w:pStyle w:val="TBodynormalNumber"/>
              <w:rPr>
                <w:rFonts w:ascii="Arial" w:hAnsi="Arial" w:cs="Arial"/>
              </w:rPr>
            </w:pPr>
            <w:r w:rsidRPr="00B23210">
              <w:rPr>
                <w:rFonts w:ascii="Arial" w:hAnsi="Arial" w:cs="Arial"/>
              </w:rPr>
              <w:t>4.613,9</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79AC92BF" w14:textId="50AAFC2A" w:rsidR="00307BC9" w:rsidRPr="00B23210" w:rsidRDefault="00307BC9" w:rsidP="00307BC9">
            <w:pPr>
              <w:pStyle w:val="TBodynormalNumber"/>
              <w:rPr>
                <w:rFonts w:ascii="Arial" w:hAnsi="Arial" w:cs="Arial"/>
              </w:rPr>
            </w:pPr>
            <w:r w:rsidRPr="00B23210">
              <w:rPr>
                <w:rFonts w:ascii="Arial" w:hAnsi="Arial" w:cs="Arial"/>
                <w:color w:val="000000"/>
                <w:szCs w:val="13"/>
              </w:rPr>
              <w:t>-11,2</w:t>
            </w:r>
          </w:p>
        </w:tc>
      </w:tr>
      <w:tr w:rsidR="00307BC9" w:rsidRPr="00B23210" w14:paraId="0C587B9C" w14:textId="2496D08A" w:rsidTr="00BB29F3">
        <w:trPr>
          <w:trHeight w:val="228"/>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2F046D3B" w14:textId="09F6DB3F" w:rsidR="00307BC9" w:rsidRPr="00B23210" w:rsidRDefault="00307BC9" w:rsidP="00307BC9">
            <w:pPr>
              <w:pStyle w:val="TBodynormalText"/>
              <w:rPr>
                <w:rFonts w:ascii="Arial" w:hAnsi="Arial" w:cs="Arial"/>
              </w:rPr>
            </w:pPr>
            <w:r w:rsidRPr="00B23210">
              <w:rPr>
                <w:rFonts w:ascii="Arial" w:hAnsi="Arial" w:cs="Arial"/>
              </w:rPr>
              <w:t>Bereinigtes operatives Ergebnis (EBIT bereinigt)</w:t>
            </w:r>
            <w:r w:rsidR="004B08C8">
              <w:rPr>
                <w:rFonts w:ascii="Arial" w:hAnsi="Arial" w:cs="Arial"/>
                <w:vertAlign w:val="superscript"/>
              </w:rPr>
              <w:t>4</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57DF373D" w14:textId="77777777" w:rsidR="00307BC9" w:rsidRPr="00B23210" w:rsidRDefault="00307BC9" w:rsidP="00307BC9">
            <w:pPr>
              <w:pStyle w:val="TBodynormalNumber"/>
              <w:rPr>
                <w:rFonts w:ascii="Arial" w:hAnsi="Arial" w:cs="Arial"/>
              </w:rPr>
            </w:pPr>
            <w:r w:rsidRPr="00B23210">
              <w:rPr>
                <w:rFonts w:ascii="Arial" w:hAnsi="Arial" w:cs="Arial"/>
              </w:rPr>
              <w:t>75,5</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295711F4" w14:textId="77777777" w:rsidR="00307BC9" w:rsidRPr="00B23210" w:rsidRDefault="00307BC9" w:rsidP="00307BC9">
            <w:pPr>
              <w:pStyle w:val="TBodynormalNumber"/>
              <w:rPr>
                <w:rFonts w:ascii="Arial" w:hAnsi="Arial" w:cs="Arial"/>
              </w:rPr>
            </w:pPr>
            <w:r w:rsidRPr="00B23210">
              <w:rPr>
                <w:rFonts w:ascii="Arial" w:hAnsi="Arial" w:cs="Arial"/>
              </w:rPr>
              <w:t>277,9</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48CAF295" w14:textId="4A98C062" w:rsidR="00307BC9" w:rsidRPr="00B23210" w:rsidRDefault="00307BC9" w:rsidP="00307BC9">
            <w:pPr>
              <w:pStyle w:val="TBodynormalNumber"/>
              <w:rPr>
                <w:rFonts w:ascii="Arial" w:hAnsi="Arial" w:cs="Arial"/>
              </w:rPr>
            </w:pPr>
            <w:r w:rsidRPr="00B23210">
              <w:rPr>
                <w:rFonts w:ascii="Arial" w:hAnsi="Arial" w:cs="Arial"/>
                <w:color w:val="000000"/>
                <w:szCs w:val="13"/>
              </w:rPr>
              <w:t>-72,8</w:t>
            </w:r>
          </w:p>
        </w:tc>
      </w:tr>
      <w:tr w:rsidR="00307BC9" w:rsidRPr="00B23210" w14:paraId="6CC181D9" w14:textId="6D59E648" w:rsidTr="00BB29F3">
        <w:trPr>
          <w:trHeight w:val="257"/>
        </w:trPr>
        <w:tc>
          <w:tcPr>
            <w:tcW w:w="5567" w:type="dxa"/>
            <w:tcBorders>
              <w:top w:val="single" w:sz="4" w:space="0" w:color="727373"/>
              <w:left w:val="none" w:sz="0" w:space="0" w:color="000000"/>
              <w:bottom w:val="single" w:sz="6" w:space="0" w:color="000000"/>
              <w:right w:val="none" w:sz="0" w:space="0" w:color="000000"/>
            </w:tcBorders>
            <w:shd w:val="clear" w:color="auto" w:fill="FFFFFF"/>
            <w:vAlign w:val="bottom"/>
          </w:tcPr>
          <w:p w14:paraId="398ACB77" w14:textId="77777777" w:rsidR="00307BC9" w:rsidRPr="00B23210" w:rsidRDefault="00307BC9" w:rsidP="00307BC9">
            <w:pPr>
              <w:pStyle w:val="TBodynormalText"/>
              <w:rPr>
                <w:rFonts w:ascii="Arial" w:hAnsi="Arial" w:cs="Arial"/>
              </w:rPr>
            </w:pPr>
            <w:r w:rsidRPr="00B23210">
              <w:rPr>
                <w:rFonts w:ascii="Arial" w:hAnsi="Arial" w:cs="Arial"/>
              </w:rPr>
              <w:t>in % des bereinigten Umsatzes</w:t>
            </w:r>
          </w:p>
        </w:tc>
        <w:tc>
          <w:tcPr>
            <w:tcW w:w="1369" w:type="dxa"/>
            <w:tcBorders>
              <w:top w:val="single" w:sz="4" w:space="0" w:color="727373"/>
              <w:left w:val="none" w:sz="0" w:space="0" w:color="000000"/>
              <w:bottom w:val="single" w:sz="6" w:space="0" w:color="000000"/>
              <w:right w:val="none" w:sz="0" w:space="0" w:color="000000"/>
            </w:tcBorders>
            <w:shd w:val="clear" w:color="auto" w:fill="F0F0F1"/>
            <w:vAlign w:val="bottom"/>
          </w:tcPr>
          <w:p w14:paraId="1CAC6C20" w14:textId="77777777" w:rsidR="00307BC9" w:rsidRPr="00B23210" w:rsidRDefault="00307BC9" w:rsidP="00307BC9">
            <w:pPr>
              <w:pStyle w:val="TBodynormalNumber"/>
              <w:rPr>
                <w:rFonts w:ascii="Arial" w:hAnsi="Arial" w:cs="Arial"/>
              </w:rPr>
            </w:pPr>
            <w:r w:rsidRPr="00B23210">
              <w:rPr>
                <w:rFonts w:ascii="Arial" w:hAnsi="Arial" w:cs="Arial"/>
              </w:rPr>
              <w:t>1,8</w:t>
            </w:r>
          </w:p>
        </w:tc>
        <w:tc>
          <w:tcPr>
            <w:tcW w:w="1369" w:type="dxa"/>
            <w:tcBorders>
              <w:top w:val="single" w:sz="4" w:space="0" w:color="727373"/>
              <w:left w:val="none" w:sz="0" w:space="0" w:color="000000"/>
              <w:bottom w:val="single" w:sz="6" w:space="0" w:color="000000"/>
              <w:right w:val="none" w:sz="0" w:space="0" w:color="000000"/>
            </w:tcBorders>
            <w:shd w:val="clear" w:color="auto" w:fill="FFFFFF"/>
            <w:vAlign w:val="bottom"/>
          </w:tcPr>
          <w:p w14:paraId="1DBCBD93" w14:textId="77777777" w:rsidR="00307BC9" w:rsidRPr="00B23210" w:rsidRDefault="00307BC9" w:rsidP="00307BC9">
            <w:pPr>
              <w:pStyle w:val="TBodynormalNumber"/>
              <w:rPr>
                <w:rFonts w:ascii="Arial" w:hAnsi="Arial" w:cs="Arial"/>
              </w:rPr>
            </w:pPr>
            <w:r w:rsidRPr="00B23210">
              <w:rPr>
                <w:rFonts w:ascii="Arial" w:hAnsi="Arial" w:cs="Arial"/>
              </w:rPr>
              <w:t>6,0</w:t>
            </w:r>
          </w:p>
        </w:tc>
        <w:tc>
          <w:tcPr>
            <w:tcW w:w="1369" w:type="dxa"/>
            <w:tcBorders>
              <w:top w:val="single" w:sz="4" w:space="0" w:color="727373"/>
              <w:left w:val="none" w:sz="0" w:space="0" w:color="000000"/>
              <w:bottom w:val="single" w:sz="6" w:space="0" w:color="000000"/>
              <w:right w:val="none" w:sz="0" w:space="0" w:color="000000"/>
            </w:tcBorders>
            <w:shd w:val="clear" w:color="auto" w:fill="auto"/>
            <w:vAlign w:val="center"/>
          </w:tcPr>
          <w:p w14:paraId="2CE442DB" w14:textId="58925977" w:rsidR="00307BC9" w:rsidRPr="00B23210" w:rsidRDefault="00307BC9" w:rsidP="00307BC9">
            <w:pPr>
              <w:pStyle w:val="TBodynormalNumber"/>
              <w:rPr>
                <w:rFonts w:ascii="Arial" w:hAnsi="Arial" w:cs="Arial"/>
              </w:rPr>
            </w:pPr>
            <w:r w:rsidRPr="00B23210">
              <w:rPr>
                <w:rFonts w:ascii="Arial" w:hAnsi="Arial" w:cs="Arial"/>
                <w:color w:val="000000"/>
                <w:szCs w:val="13"/>
              </w:rPr>
              <w:t> </w:t>
            </w:r>
          </w:p>
        </w:tc>
      </w:tr>
      <w:tr w:rsidR="00FF2B76" w:rsidRPr="00B23210" w14:paraId="75E3B7C4" w14:textId="0CF0EB35" w:rsidTr="00BB29F3">
        <w:trPr>
          <w:cantSplit/>
          <w:trHeight w:val="137"/>
        </w:trPr>
        <w:tc>
          <w:tcPr>
            <w:tcW w:w="5567" w:type="dxa"/>
            <w:tcBorders>
              <w:top w:val="single" w:sz="6" w:space="0" w:color="000000"/>
              <w:left w:val="none" w:sz="0" w:space="0" w:color="000000"/>
              <w:bottom w:val="none" w:sz="0" w:space="0" w:color="000000"/>
              <w:right w:val="none" w:sz="0" w:space="0" w:color="000000"/>
            </w:tcBorders>
            <w:shd w:val="clear" w:color="auto" w:fill="FFFFFF"/>
            <w:vAlign w:val="bottom"/>
          </w:tcPr>
          <w:p w14:paraId="569F4CAE" w14:textId="77777777" w:rsidR="00FF2B76" w:rsidRPr="00B23210" w:rsidRDefault="00FF2B76" w:rsidP="00FF2B76">
            <w:pPr>
              <w:pStyle w:val="TDummyRow"/>
              <w:jc w:val="left"/>
              <w:rPr>
                <w:rFonts w:ascii="Arial" w:hAnsi="Arial" w:cs="Arial"/>
              </w:rPr>
            </w:pPr>
          </w:p>
        </w:tc>
        <w:tc>
          <w:tcPr>
            <w:tcW w:w="1369" w:type="dxa"/>
            <w:tcBorders>
              <w:top w:val="single" w:sz="6" w:space="0" w:color="000000"/>
              <w:left w:val="none" w:sz="0" w:space="0" w:color="000000"/>
              <w:bottom w:val="none" w:sz="0" w:space="0" w:color="000000"/>
              <w:right w:val="none" w:sz="0" w:space="0" w:color="000000"/>
            </w:tcBorders>
            <w:shd w:val="clear" w:color="auto" w:fill="FFFFFF"/>
            <w:vAlign w:val="bottom"/>
          </w:tcPr>
          <w:p w14:paraId="384D89F3" w14:textId="77777777" w:rsidR="00FF2B76" w:rsidRPr="00B23210" w:rsidRDefault="00FF2B76" w:rsidP="00FF2B76">
            <w:pPr>
              <w:pStyle w:val="TDummyRow"/>
              <w:jc w:val="left"/>
              <w:rPr>
                <w:rFonts w:ascii="Arial" w:hAnsi="Arial" w:cs="Arial"/>
              </w:rPr>
            </w:pPr>
          </w:p>
        </w:tc>
        <w:tc>
          <w:tcPr>
            <w:tcW w:w="1369" w:type="dxa"/>
            <w:tcBorders>
              <w:top w:val="single" w:sz="6" w:space="0" w:color="000000"/>
              <w:left w:val="none" w:sz="0" w:space="0" w:color="000000"/>
              <w:bottom w:val="none" w:sz="0" w:space="0" w:color="000000"/>
              <w:right w:val="none" w:sz="0" w:space="0" w:color="000000"/>
            </w:tcBorders>
            <w:shd w:val="clear" w:color="auto" w:fill="FFFFFF"/>
            <w:vAlign w:val="bottom"/>
          </w:tcPr>
          <w:p w14:paraId="11B207D9" w14:textId="77777777" w:rsidR="00FF2B76" w:rsidRPr="00B23210" w:rsidRDefault="00FF2B76" w:rsidP="00FF2B76">
            <w:pPr>
              <w:pStyle w:val="TDummyRow"/>
              <w:jc w:val="left"/>
              <w:rPr>
                <w:rFonts w:ascii="Arial" w:hAnsi="Arial" w:cs="Arial"/>
              </w:rPr>
            </w:pPr>
          </w:p>
        </w:tc>
        <w:tc>
          <w:tcPr>
            <w:tcW w:w="1369" w:type="dxa"/>
            <w:tcBorders>
              <w:top w:val="single" w:sz="6" w:space="0" w:color="000000"/>
              <w:left w:val="none" w:sz="0" w:space="0" w:color="000000"/>
              <w:bottom w:val="none" w:sz="0" w:space="0" w:color="000000"/>
              <w:right w:val="none" w:sz="0" w:space="0" w:color="000000"/>
            </w:tcBorders>
            <w:shd w:val="clear" w:color="auto" w:fill="FFFFFF"/>
          </w:tcPr>
          <w:p w14:paraId="117C02E9" w14:textId="77777777" w:rsidR="00FF2B76" w:rsidRPr="00B23210" w:rsidRDefault="00FF2B76" w:rsidP="00FF2B76">
            <w:pPr>
              <w:pStyle w:val="TDummyRow"/>
              <w:jc w:val="left"/>
              <w:rPr>
                <w:rFonts w:ascii="Arial" w:hAnsi="Arial" w:cs="Arial"/>
              </w:rPr>
            </w:pPr>
          </w:p>
        </w:tc>
      </w:tr>
    </w:tbl>
    <w:p w14:paraId="28CE3E1B" w14:textId="77777777" w:rsidR="00B23210" w:rsidRPr="00B23210" w:rsidRDefault="00B23210" w:rsidP="00B23210">
      <w:pPr>
        <w:pStyle w:val="TNote"/>
        <w:rPr>
          <w:rFonts w:ascii="Arial" w:hAnsi="Arial" w:cs="Arial"/>
        </w:rPr>
      </w:pPr>
      <w:r w:rsidRPr="00B23210">
        <w:rPr>
          <w:rFonts w:ascii="Arial" w:hAnsi="Arial" w:cs="Arial"/>
        </w:rPr>
        <w:t>1</w:t>
      </w:r>
      <w:r w:rsidRPr="00B23210">
        <w:rPr>
          <w:rFonts w:ascii="Arial" w:hAnsi="Arial" w:cs="Arial"/>
        </w:rPr>
        <w:tab/>
        <w:t>Investitionen in Sachanlagen und Software.</w:t>
      </w:r>
    </w:p>
    <w:p w14:paraId="0B315E50" w14:textId="77777777" w:rsidR="00B23210" w:rsidRPr="00B23210" w:rsidRDefault="00B23210" w:rsidP="00B23210">
      <w:pPr>
        <w:pStyle w:val="TNote"/>
        <w:rPr>
          <w:rFonts w:ascii="Arial" w:hAnsi="Arial" w:cs="Arial"/>
        </w:rPr>
      </w:pPr>
      <w:r w:rsidRPr="00B23210">
        <w:rPr>
          <w:rFonts w:ascii="Arial" w:hAnsi="Arial" w:cs="Arial"/>
        </w:rPr>
        <w:t>2</w:t>
      </w:r>
      <w:r w:rsidRPr="00B23210">
        <w:rPr>
          <w:rFonts w:ascii="Arial" w:hAnsi="Arial" w:cs="Arial"/>
        </w:rPr>
        <w:tab/>
        <w:t>Ohne Auszubildende.</w:t>
      </w:r>
    </w:p>
    <w:p w14:paraId="7FFBE7FE" w14:textId="77777777" w:rsidR="00B23210" w:rsidRPr="00B23210" w:rsidRDefault="00B23210" w:rsidP="00B23210">
      <w:pPr>
        <w:pStyle w:val="TNote"/>
        <w:rPr>
          <w:rFonts w:ascii="Arial" w:hAnsi="Arial" w:cs="Arial"/>
        </w:rPr>
      </w:pPr>
      <w:r w:rsidRPr="00B23210">
        <w:rPr>
          <w:rFonts w:ascii="Arial" w:hAnsi="Arial" w:cs="Arial"/>
        </w:rPr>
        <w:t>3</w:t>
      </w:r>
      <w:r w:rsidRPr="00B23210">
        <w:rPr>
          <w:rFonts w:ascii="Arial" w:hAnsi="Arial" w:cs="Arial"/>
        </w:rPr>
        <w:tab/>
        <w:t>Bereinigt um Konsolidierungskreisveränderungen.</w:t>
      </w:r>
    </w:p>
    <w:p w14:paraId="7D808A0E" w14:textId="77777777" w:rsidR="00B23210" w:rsidRDefault="00B23210" w:rsidP="00B23210">
      <w:pPr>
        <w:pStyle w:val="TNote"/>
        <w:rPr>
          <w:rFonts w:ascii="Arial" w:hAnsi="Arial" w:cs="Arial"/>
        </w:rPr>
      </w:pPr>
      <w:r w:rsidRPr="00B23210">
        <w:rPr>
          <w:rFonts w:ascii="Arial" w:hAnsi="Arial" w:cs="Arial"/>
        </w:rPr>
        <w:t>4</w:t>
      </w:r>
      <w:r w:rsidRPr="00B23210">
        <w:rPr>
          <w:rFonts w:ascii="Arial" w:hAnsi="Arial" w:cs="Arial"/>
        </w:rPr>
        <w:tab/>
        <w:t>Bereinigt um Abschreibungen auf immaterielle Vermögenswerte aus Kaufpreisallokation (PPA), Konsolidierungskreisveränderungen und Sondereffekte.</w:t>
      </w:r>
    </w:p>
    <w:p w14:paraId="14706CF2" w14:textId="6D2D4A19" w:rsidR="00B23210" w:rsidRDefault="00B23210" w:rsidP="00B23210">
      <w:pPr>
        <w:pStyle w:val="TNote"/>
      </w:pPr>
      <w:r>
        <w:rPr>
          <w:rFonts w:ascii="Arial" w:eastAsiaTheme="minorHAnsi" w:hAnsi="Arial" w:cstheme="minorBidi"/>
          <w:spacing w:val="0"/>
          <w:kern w:val="0"/>
          <w:sz w:val="22"/>
          <w:szCs w:val="22"/>
          <w:lang w:eastAsia="en-US"/>
        </w:rPr>
        <w:br w:type="page"/>
      </w:r>
    </w:p>
    <w:tbl>
      <w:tblPr>
        <w:tblOverlap w:val="never"/>
        <w:tblW w:w="9674" w:type="dxa"/>
        <w:tblLayout w:type="fixed"/>
        <w:tblCellMar>
          <w:left w:w="0" w:type="dxa"/>
          <w:right w:w="0" w:type="dxa"/>
        </w:tblCellMar>
        <w:tblLook w:val="04A0" w:firstRow="1" w:lastRow="0" w:firstColumn="1" w:lastColumn="0" w:noHBand="0" w:noVBand="1"/>
        <w:tblDescription w:val="_FLink_1T_UQkEHcZ5DuZöDöNciU_1&#10;_FLink_1T_UW8öYUXVPJFüüXajbJ_1"/>
      </w:tblPr>
      <w:tblGrid>
        <w:gridCol w:w="5567"/>
        <w:gridCol w:w="1369"/>
        <w:gridCol w:w="1369"/>
        <w:gridCol w:w="1369"/>
      </w:tblGrid>
      <w:tr w:rsidR="00A538A1" w:rsidRPr="00B23210" w14:paraId="7BDD871A" w14:textId="0CB3D544" w:rsidTr="00FF6E37">
        <w:trPr>
          <w:trHeight w:val="348"/>
        </w:trPr>
        <w:tc>
          <w:tcPr>
            <w:tcW w:w="5567" w:type="dxa"/>
            <w:tcBorders>
              <w:top w:val="single" w:sz="6" w:space="0" w:color="000000"/>
              <w:left w:val="none" w:sz="0" w:space="0" w:color="000000"/>
              <w:bottom w:val="none" w:sz="0" w:space="0" w:color="000000"/>
              <w:right w:val="none" w:sz="0" w:space="0" w:color="000000"/>
            </w:tcBorders>
            <w:shd w:val="clear" w:color="auto" w:fill="FFFFFF"/>
            <w:vAlign w:val="bottom"/>
          </w:tcPr>
          <w:p w14:paraId="7F79FC84" w14:textId="35583831" w:rsidR="00A538A1" w:rsidRPr="00B23210" w:rsidRDefault="00A538A1" w:rsidP="00725F48">
            <w:pPr>
              <w:pStyle w:val="THeadfirstText"/>
              <w:rPr>
                <w:rFonts w:ascii="Arial" w:hAnsi="Arial" w:cs="Arial"/>
              </w:rPr>
            </w:pPr>
          </w:p>
        </w:tc>
        <w:tc>
          <w:tcPr>
            <w:tcW w:w="4107" w:type="dxa"/>
            <w:gridSpan w:val="3"/>
            <w:tcBorders>
              <w:top w:val="single" w:sz="6" w:space="0" w:color="000000"/>
              <w:left w:val="none" w:sz="0" w:space="0" w:color="000000"/>
              <w:bottom w:val="single" w:sz="6" w:space="0" w:color="000000"/>
              <w:right w:val="none" w:sz="0" w:space="0" w:color="000000"/>
            </w:tcBorders>
            <w:shd w:val="clear" w:color="auto" w:fill="FFFFFF"/>
            <w:vAlign w:val="bottom"/>
          </w:tcPr>
          <w:p w14:paraId="6A093EE2" w14:textId="497AC259" w:rsidR="00A538A1" w:rsidRPr="00B23210" w:rsidRDefault="00A538A1" w:rsidP="00725F48">
            <w:pPr>
              <w:pStyle w:val="THeadfirstNumber"/>
              <w:jc w:val="center"/>
              <w:rPr>
                <w:rFonts w:ascii="Arial" w:hAnsi="Arial" w:cs="Arial"/>
              </w:rPr>
            </w:pPr>
            <w:r w:rsidRPr="00B23210">
              <w:rPr>
                <w:rFonts w:ascii="Arial" w:hAnsi="Arial" w:cs="Arial"/>
              </w:rPr>
              <w:t>1. Januar bis 31. März</w:t>
            </w:r>
          </w:p>
        </w:tc>
      </w:tr>
      <w:tr w:rsidR="00285167" w:rsidRPr="00B23210" w14:paraId="2471BB12" w14:textId="3E47348B" w:rsidTr="00BB29F3">
        <w:trPr>
          <w:trHeight w:val="232"/>
        </w:trPr>
        <w:tc>
          <w:tcPr>
            <w:tcW w:w="5567" w:type="dxa"/>
            <w:tcBorders>
              <w:top w:val="none" w:sz="0" w:space="0" w:color="000000"/>
              <w:left w:val="none" w:sz="0" w:space="0" w:color="000000"/>
              <w:bottom w:val="single" w:sz="6" w:space="0" w:color="000000"/>
              <w:right w:val="none" w:sz="0" w:space="0" w:color="000000"/>
            </w:tcBorders>
            <w:shd w:val="clear" w:color="auto" w:fill="FFFFFF"/>
            <w:vAlign w:val="bottom"/>
          </w:tcPr>
          <w:p w14:paraId="7C94EDDF" w14:textId="77777777" w:rsidR="00285167" w:rsidRPr="00B23210" w:rsidRDefault="00285167" w:rsidP="00725F48">
            <w:pPr>
              <w:pStyle w:val="THeadlastText"/>
              <w:rPr>
                <w:rFonts w:ascii="Arial" w:hAnsi="Arial" w:cs="Arial"/>
                <w:b/>
                <w:bCs/>
              </w:rPr>
            </w:pPr>
            <w:r w:rsidRPr="00B23210">
              <w:rPr>
                <w:rFonts w:ascii="Arial" w:hAnsi="Arial" w:cs="Arial"/>
                <w:b/>
                <w:bCs/>
              </w:rPr>
              <w:t>Rubber Technologies in Mio</w:t>
            </w:r>
            <w:r w:rsidRPr="00B23210">
              <w:rPr>
                <w:rFonts w:ascii="Arial" w:hAnsi="Arial" w:cs="Arial"/>
                <w:b/>
                <w:bCs/>
                <w:sz w:val="8"/>
              </w:rPr>
              <w:t> </w:t>
            </w:r>
            <w:r w:rsidRPr="00B23210">
              <w:rPr>
                <w:rFonts w:ascii="Arial" w:hAnsi="Arial" w:cs="Arial"/>
                <w:b/>
                <w:bCs/>
              </w:rPr>
              <w:t>€</w:t>
            </w:r>
          </w:p>
        </w:tc>
        <w:tc>
          <w:tcPr>
            <w:tcW w:w="1369" w:type="dxa"/>
            <w:tcBorders>
              <w:top w:val="single" w:sz="6" w:space="0" w:color="000000"/>
              <w:left w:val="none" w:sz="0" w:space="0" w:color="000000"/>
              <w:bottom w:val="single" w:sz="6" w:space="0" w:color="000000"/>
              <w:right w:val="none" w:sz="0" w:space="0" w:color="000000"/>
            </w:tcBorders>
            <w:shd w:val="clear" w:color="auto" w:fill="FFFFFF"/>
            <w:vAlign w:val="bottom"/>
          </w:tcPr>
          <w:p w14:paraId="787686E9" w14:textId="77777777" w:rsidR="00285167" w:rsidRPr="00B23210" w:rsidRDefault="00285167" w:rsidP="00725F48">
            <w:pPr>
              <w:pStyle w:val="THeadlastNumber"/>
              <w:rPr>
                <w:rFonts w:ascii="Arial" w:hAnsi="Arial" w:cs="Arial"/>
              </w:rPr>
            </w:pPr>
            <w:r w:rsidRPr="00B23210">
              <w:rPr>
                <w:rFonts w:ascii="Arial" w:hAnsi="Arial" w:cs="Arial"/>
              </w:rPr>
              <w:t>2020</w:t>
            </w:r>
          </w:p>
        </w:tc>
        <w:tc>
          <w:tcPr>
            <w:tcW w:w="1369" w:type="dxa"/>
            <w:tcBorders>
              <w:top w:val="single" w:sz="6" w:space="0" w:color="000000"/>
              <w:left w:val="none" w:sz="0" w:space="0" w:color="000000"/>
              <w:bottom w:val="single" w:sz="6" w:space="0" w:color="000000"/>
              <w:right w:val="none" w:sz="0" w:space="0" w:color="000000"/>
            </w:tcBorders>
            <w:shd w:val="clear" w:color="auto" w:fill="auto"/>
            <w:vAlign w:val="bottom"/>
          </w:tcPr>
          <w:p w14:paraId="76227F12" w14:textId="77777777" w:rsidR="00285167" w:rsidRPr="00B23210" w:rsidRDefault="00285167" w:rsidP="00725F48">
            <w:pPr>
              <w:pStyle w:val="THeadlastNumber"/>
              <w:rPr>
                <w:rFonts w:ascii="Arial" w:hAnsi="Arial" w:cs="Arial"/>
              </w:rPr>
            </w:pPr>
            <w:r w:rsidRPr="00B23210">
              <w:rPr>
                <w:rFonts w:ascii="Arial" w:hAnsi="Arial" w:cs="Arial"/>
              </w:rPr>
              <w:t>2019</w:t>
            </w:r>
          </w:p>
        </w:tc>
        <w:tc>
          <w:tcPr>
            <w:tcW w:w="1369" w:type="dxa"/>
            <w:tcBorders>
              <w:top w:val="single" w:sz="6" w:space="0" w:color="000000"/>
              <w:left w:val="none" w:sz="0" w:space="0" w:color="000000"/>
              <w:bottom w:val="single" w:sz="6" w:space="0" w:color="000000"/>
              <w:right w:val="none" w:sz="0" w:space="0" w:color="000000"/>
            </w:tcBorders>
            <w:shd w:val="clear" w:color="auto" w:fill="auto"/>
          </w:tcPr>
          <w:p w14:paraId="4CB78021" w14:textId="1D5A7C62" w:rsidR="00285167" w:rsidRPr="00B23210" w:rsidRDefault="00285167" w:rsidP="00725F48">
            <w:pPr>
              <w:pStyle w:val="THeadlastNumber"/>
              <w:rPr>
                <w:rFonts w:ascii="Arial" w:hAnsi="Arial" w:cs="Arial"/>
              </w:rPr>
            </w:pPr>
            <w:r w:rsidRPr="00B23210">
              <w:rPr>
                <w:rFonts w:ascii="Arial" w:hAnsi="Arial" w:cs="Arial"/>
                <w:lang w:eastAsia="de-DE" w:bidi="de-DE"/>
              </w:rPr>
              <w:t>Δ in %</w:t>
            </w:r>
          </w:p>
        </w:tc>
      </w:tr>
      <w:tr w:rsidR="004635B7" w:rsidRPr="00B23210" w14:paraId="60A411A7" w14:textId="43882602" w:rsidTr="00BB29F3">
        <w:trPr>
          <w:trHeight w:val="232"/>
        </w:trPr>
        <w:tc>
          <w:tcPr>
            <w:tcW w:w="5567" w:type="dxa"/>
            <w:tcBorders>
              <w:top w:val="single" w:sz="6" w:space="0" w:color="000000"/>
              <w:left w:val="none" w:sz="0" w:space="0" w:color="000000"/>
              <w:bottom w:val="single" w:sz="4" w:space="0" w:color="727373"/>
              <w:right w:val="none" w:sz="0" w:space="0" w:color="000000"/>
            </w:tcBorders>
            <w:shd w:val="clear" w:color="auto" w:fill="FFFFFF"/>
            <w:vAlign w:val="bottom"/>
          </w:tcPr>
          <w:p w14:paraId="3A2259D0" w14:textId="77777777" w:rsidR="004635B7" w:rsidRPr="00B23210" w:rsidRDefault="004635B7" w:rsidP="004635B7">
            <w:pPr>
              <w:pStyle w:val="TBodynormalText"/>
              <w:rPr>
                <w:rFonts w:ascii="Arial" w:hAnsi="Arial" w:cs="Arial"/>
              </w:rPr>
            </w:pPr>
            <w:r w:rsidRPr="00B23210">
              <w:rPr>
                <w:rFonts w:ascii="Arial" w:hAnsi="Arial" w:cs="Arial"/>
              </w:rPr>
              <w:t>Umsatz</w:t>
            </w:r>
          </w:p>
        </w:tc>
        <w:tc>
          <w:tcPr>
            <w:tcW w:w="1369" w:type="dxa"/>
            <w:tcBorders>
              <w:top w:val="single" w:sz="6" w:space="0" w:color="000000"/>
              <w:left w:val="none" w:sz="0" w:space="0" w:color="000000"/>
              <w:bottom w:val="single" w:sz="4" w:space="0" w:color="727373"/>
              <w:right w:val="none" w:sz="0" w:space="0" w:color="000000"/>
            </w:tcBorders>
            <w:shd w:val="clear" w:color="auto" w:fill="F0F0F1"/>
            <w:vAlign w:val="bottom"/>
          </w:tcPr>
          <w:p w14:paraId="52DC43D9" w14:textId="77777777" w:rsidR="004635B7" w:rsidRPr="00B23210" w:rsidRDefault="004635B7" w:rsidP="004635B7">
            <w:pPr>
              <w:pStyle w:val="TBodynormalNumber"/>
              <w:rPr>
                <w:rFonts w:ascii="Arial" w:hAnsi="Arial" w:cs="Arial"/>
              </w:rPr>
            </w:pPr>
            <w:r w:rsidRPr="00B23210">
              <w:rPr>
                <w:rFonts w:ascii="Arial" w:hAnsi="Arial" w:cs="Arial"/>
              </w:rPr>
              <w:t>3.971,7</w:t>
            </w:r>
          </w:p>
        </w:tc>
        <w:tc>
          <w:tcPr>
            <w:tcW w:w="1369" w:type="dxa"/>
            <w:tcBorders>
              <w:top w:val="single" w:sz="6" w:space="0" w:color="000000"/>
              <w:left w:val="none" w:sz="0" w:space="0" w:color="000000"/>
              <w:bottom w:val="single" w:sz="4" w:space="0" w:color="727373"/>
              <w:right w:val="none" w:sz="0" w:space="0" w:color="000000"/>
            </w:tcBorders>
            <w:shd w:val="clear" w:color="auto" w:fill="FFFFFF"/>
            <w:vAlign w:val="bottom"/>
          </w:tcPr>
          <w:p w14:paraId="6723BA04" w14:textId="77777777" w:rsidR="004635B7" w:rsidRPr="00B23210" w:rsidRDefault="004635B7" w:rsidP="004635B7">
            <w:pPr>
              <w:pStyle w:val="TBodynormalNumber"/>
              <w:rPr>
                <w:rFonts w:ascii="Arial" w:hAnsi="Arial" w:cs="Arial"/>
              </w:rPr>
            </w:pPr>
            <w:r w:rsidRPr="00B23210">
              <w:rPr>
                <w:rFonts w:ascii="Arial" w:hAnsi="Arial" w:cs="Arial"/>
              </w:rPr>
              <w:t>4.371,6</w:t>
            </w:r>
          </w:p>
        </w:tc>
        <w:tc>
          <w:tcPr>
            <w:tcW w:w="1369" w:type="dxa"/>
            <w:tcBorders>
              <w:top w:val="single" w:sz="6" w:space="0" w:color="000000"/>
              <w:left w:val="none" w:sz="0" w:space="0" w:color="000000"/>
              <w:bottom w:val="single" w:sz="4" w:space="0" w:color="727373"/>
              <w:right w:val="none" w:sz="0" w:space="0" w:color="000000"/>
            </w:tcBorders>
            <w:shd w:val="clear" w:color="auto" w:fill="auto"/>
            <w:vAlign w:val="center"/>
          </w:tcPr>
          <w:p w14:paraId="5926F23E" w14:textId="6119435F" w:rsidR="004635B7" w:rsidRPr="00B23210" w:rsidRDefault="004635B7" w:rsidP="004635B7">
            <w:pPr>
              <w:pStyle w:val="TBodynormalNumber"/>
              <w:rPr>
                <w:rFonts w:ascii="Arial" w:hAnsi="Arial" w:cs="Arial"/>
              </w:rPr>
            </w:pPr>
            <w:r w:rsidRPr="00B23210">
              <w:rPr>
                <w:rFonts w:ascii="Arial" w:hAnsi="Arial" w:cs="Arial"/>
                <w:color w:val="000000"/>
                <w:szCs w:val="13"/>
              </w:rPr>
              <w:t>-9,1</w:t>
            </w:r>
          </w:p>
        </w:tc>
      </w:tr>
      <w:tr w:rsidR="004635B7" w:rsidRPr="00B23210" w14:paraId="20E89DD1" w14:textId="7C469425"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11462A95" w14:textId="77777777" w:rsidR="004635B7" w:rsidRPr="00B23210" w:rsidRDefault="004635B7" w:rsidP="004635B7">
            <w:pPr>
              <w:pStyle w:val="TBodynormalText"/>
              <w:rPr>
                <w:rFonts w:ascii="Arial" w:hAnsi="Arial" w:cs="Arial"/>
              </w:rPr>
            </w:pPr>
            <w:r w:rsidRPr="00B23210">
              <w:rPr>
                <w:rFonts w:ascii="Arial" w:hAnsi="Arial" w:cs="Arial"/>
              </w:rPr>
              <w:t>EBITDA</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4BDC53B8" w14:textId="77777777" w:rsidR="004635B7" w:rsidRPr="00B23210" w:rsidRDefault="004635B7" w:rsidP="004635B7">
            <w:pPr>
              <w:pStyle w:val="TBodynormalNumber"/>
              <w:rPr>
                <w:rFonts w:ascii="Arial" w:hAnsi="Arial" w:cs="Arial"/>
              </w:rPr>
            </w:pPr>
            <w:r w:rsidRPr="00B23210">
              <w:rPr>
                <w:rFonts w:ascii="Arial" w:hAnsi="Arial" w:cs="Arial"/>
              </w:rPr>
              <w:t>651,0</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5E849F85" w14:textId="77777777" w:rsidR="004635B7" w:rsidRPr="00B23210" w:rsidRDefault="004635B7" w:rsidP="004635B7">
            <w:pPr>
              <w:pStyle w:val="TBodynormalNumber"/>
              <w:rPr>
                <w:rFonts w:ascii="Arial" w:hAnsi="Arial" w:cs="Arial"/>
              </w:rPr>
            </w:pPr>
            <w:r w:rsidRPr="00B23210">
              <w:rPr>
                <w:rFonts w:ascii="Arial" w:hAnsi="Arial" w:cs="Arial"/>
              </w:rPr>
              <w:t>788,8</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3AAE3BA3" w14:textId="213A7033" w:rsidR="004635B7" w:rsidRPr="00B23210" w:rsidRDefault="004635B7" w:rsidP="004635B7">
            <w:pPr>
              <w:pStyle w:val="TBodynormalNumber"/>
              <w:rPr>
                <w:rFonts w:ascii="Arial" w:hAnsi="Arial" w:cs="Arial"/>
              </w:rPr>
            </w:pPr>
            <w:r w:rsidRPr="00B23210">
              <w:rPr>
                <w:rFonts w:ascii="Arial" w:hAnsi="Arial" w:cs="Arial"/>
                <w:color w:val="000000"/>
                <w:szCs w:val="13"/>
              </w:rPr>
              <w:t>-17,5</w:t>
            </w:r>
          </w:p>
        </w:tc>
      </w:tr>
      <w:tr w:rsidR="004635B7" w:rsidRPr="00B23210" w14:paraId="399C7D3C" w14:textId="1A350BB0"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16FB0F01" w14:textId="77777777" w:rsidR="004635B7" w:rsidRPr="00B23210" w:rsidRDefault="004635B7" w:rsidP="004635B7">
            <w:pPr>
              <w:pStyle w:val="TBodynormalText"/>
              <w:rPr>
                <w:rFonts w:ascii="Arial" w:hAnsi="Arial" w:cs="Arial"/>
              </w:rPr>
            </w:pPr>
            <w:r w:rsidRPr="00B23210">
              <w:rPr>
                <w:rFonts w:ascii="Arial" w:hAnsi="Arial" w:cs="Arial"/>
              </w:rPr>
              <w:t>in % vom Umsatz</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387B560E" w14:textId="77777777" w:rsidR="004635B7" w:rsidRPr="00B23210" w:rsidRDefault="004635B7" w:rsidP="004635B7">
            <w:pPr>
              <w:pStyle w:val="TBodynormalNumber"/>
              <w:rPr>
                <w:rFonts w:ascii="Arial" w:hAnsi="Arial" w:cs="Arial"/>
              </w:rPr>
            </w:pPr>
            <w:r w:rsidRPr="00B23210">
              <w:rPr>
                <w:rFonts w:ascii="Arial" w:hAnsi="Arial" w:cs="Arial"/>
              </w:rPr>
              <w:t>16,4</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6EA135DE" w14:textId="77777777" w:rsidR="004635B7" w:rsidRPr="00B23210" w:rsidRDefault="004635B7" w:rsidP="004635B7">
            <w:pPr>
              <w:pStyle w:val="TBodynormalNumber"/>
              <w:rPr>
                <w:rFonts w:ascii="Arial" w:hAnsi="Arial" w:cs="Arial"/>
              </w:rPr>
            </w:pPr>
            <w:r w:rsidRPr="00B23210">
              <w:rPr>
                <w:rFonts w:ascii="Arial" w:hAnsi="Arial" w:cs="Arial"/>
              </w:rPr>
              <w:t>18,0</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000E17E3" w14:textId="295699E5" w:rsidR="004635B7" w:rsidRPr="00B23210" w:rsidRDefault="004635B7" w:rsidP="004635B7">
            <w:pPr>
              <w:pStyle w:val="TBodynormalNumber"/>
              <w:rPr>
                <w:rFonts w:ascii="Arial" w:hAnsi="Arial" w:cs="Arial"/>
              </w:rPr>
            </w:pPr>
            <w:r w:rsidRPr="00B23210">
              <w:rPr>
                <w:rFonts w:ascii="Arial" w:hAnsi="Arial" w:cs="Arial"/>
                <w:color w:val="000000"/>
                <w:szCs w:val="13"/>
              </w:rPr>
              <w:t> </w:t>
            </w:r>
          </w:p>
        </w:tc>
      </w:tr>
      <w:tr w:rsidR="004635B7" w:rsidRPr="00B23210" w14:paraId="40F78C3D" w14:textId="6AF7541B"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437D3CBD" w14:textId="77777777" w:rsidR="004635B7" w:rsidRPr="00B23210" w:rsidRDefault="004635B7" w:rsidP="004635B7">
            <w:pPr>
              <w:pStyle w:val="TBodynormalText"/>
              <w:rPr>
                <w:rFonts w:ascii="Arial" w:hAnsi="Arial" w:cs="Arial"/>
              </w:rPr>
            </w:pPr>
            <w:r w:rsidRPr="00B23210">
              <w:rPr>
                <w:rFonts w:ascii="Arial" w:hAnsi="Arial" w:cs="Arial"/>
                <w:noProof/>
              </w:rPr>
              <w:t>EBIT</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3690059D" w14:textId="77777777" w:rsidR="004635B7" w:rsidRPr="00B23210" w:rsidRDefault="004635B7" w:rsidP="004635B7">
            <w:pPr>
              <w:pStyle w:val="TBodynormalNumber"/>
              <w:rPr>
                <w:rFonts w:ascii="Arial" w:hAnsi="Arial" w:cs="Arial"/>
              </w:rPr>
            </w:pPr>
            <w:r w:rsidRPr="00B23210">
              <w:rPr>
                <w:rFonts w:ascii="Arial" w:hAnsi="Arial" w:cs="Arial"/>
              </w:rPr>
              <w:t>346,4</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4E34218A" w14:textId="77777777" w:rsidR="004635B7" w:rsidRPr="00B23210" w:rsidRDefault="004635B7" w:rsidP="004635B7">
            <w:pPr>
              <w:pStyle w:val="TBodynormalNumber"/>
              <w:rPr>
                <w:rFonts w:ascii="Arial" w:hAnsi="Arial" w:cs="Arial"/>
              </w:rPr>
            </w:pPr>
            <w:r w:rsidRPr="00B23210">
              <w:rPr>
                <w:rFonts w:ascii="Arial" w:hAnsi="Arial" w:cs="Arial"/>
              </w:rPr>
              <w:t>510,0</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2D628FA3" w14:textId="59EF2274" w:rsidR="004635B7" w:rsidRPr="00B23210" w:rsidRDefault="004635B7" w:rsidP="004635B7">
            <w:pPr>
              <w:pStyle w:val="TBodynormalNumber"/>
              <w:rPr>
                <w:rFonts w:ascii="Arial" w:hAnsi="Arial" w:cs="Arial"/>
              </w:rPr>
            </w:pPr>
            <w:r w:rsidRPr="00B23210">
              <w:rPr>
                <w:rFonts w:ascii="Arial" w:hAnsi="Arial" w:cs="Arial"/>
                <w:color w:val="000000"/>
                <w:szCs w:val="13"/>
              </w:rPr>
              <w:t>-32,1</w:t>
            </w:r>
          </w:p>
        </w:tc>
      </w:tr>
      <w:tr w:rsidR="004635B7" w:rsidRPr="00B23210" w14:paraId="377F6798" w14:textId="5C24A66D"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73CBE995" w14:textId="77777777" w:rsidR="004635B7" w:rsidRPr="00B23210" w:rsidRDefault="004635B7" w:rsidP="004635B7">
            <w:pPr>
              <w:pStyle w:val="TBodynormalText"/>
              <w:rPr>
                <w:rFonts w:ascii="Arial" w:hAnsi="Arial" w:cs="Arial"/>
              </w:rPr>
            </w:pPr>
            <w:r w:rsidRPr="00B23210">
              <w:rPr>
                <w:rFonts w:ascii="Arial" w:hAnsi="Arial" w:cs="Arial"/>
              </w:rPr>
              <w:t>in % vom Umsatz</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70CCE8C5" w14:textId="77777777" w:rsidR="004635B7" w:rsidRPr="00B23210" w:rsidRDefault="004635B7" w:rsidP="004635B7">
            <w:pPr>
              <w:pStyle w:val="TBodynormalNumber"/>
              <w:rPr>
                <w:rFonts w:ascii="Arial" w:hAnsi="Arial" w:cs="Arial"/>
              </w:rPr>
            </w:pPr>
            <w:r w:rsidRPr="00B23210">
              <w:rPr>
                <w:rFonts w:ascii="Arial" w:hAnsi="Arial" w:cs="Arial"/>
              </w:rPr>
              <w:t>8,7</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000AC049" w14:textId="77777777" w:rsidR="004635B7" w:rsidRPr="00B23210" w:rsidRDefault="004635B7" w:rsidP="004635B7">
            <w:pPr>
              <w:pStyle w:val="TBodynormalNumber"/>
              <w:rPr>
                <w:rFonts w:ascii="Arial" w:hAnsi="Arial" w:cs="Arial"/>
              </w:rPr>
            </w:pPr>
            <w:r w:rsidRPr="00B23210">
              <w:rPr>
                <w:rFonts w:ascii="Arial" w:hAnsi="Arial" w:cs="Arial"/>
              </w:rPr>
              <w:t>11,7</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051181B6" w14:textId="05944F72" w:rsidR="004635B7" w:rsidRPr="00B23210" w:rsidRDefault="004635B7" w:rsidP="004635B7">
            <w:pPr>
              <w:pStyle w:val="TBodynormalNumber"/>
              <w:rPr>
                <w:rFonts w:ascii="Arial" w:hAnsi="Arial" w:cs="Arial"/>
              </w:rPr>
            </w:pPr>
            <w:r w:rsidRPr="00B23210">
              <w:rPr>
                <w:rFonts w:ascii="Arial" w:hAnsi="Arial" w:cs="Arial"/>
                <w:color w:val="000000"/>
                <w:szCs w:val="13"/>
              </w:rPr>
              <w:t> </w:t>
            </w:r>
          </w:p>
        </w:tc>
      </w:tr>
      <w:tr w:rsidR="004635B7" w:rsidRPr="00B23210" w14:paraId="3C2834B2" w14:textId="78D20A58"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2DB5F91B" w14:textId="40139D3C" w:rsidR="004635B7" w:rsidRPr="00B23210" w:rsidRDefault="004635B7" w:rsidP="004635B7">
            <w:pPr>
              <w:pStyle w:val="TBodynormalText"/>
              <w:rPr>
                <w:rFonts w:ascii="Arial" w:hAnsi="Arial" w:cs="Arial"/>
              </w:rPr>
            </w:pPr>
            <w:r w:rsidRPr="00B23210">
              <w:rPr>
                <w:rFonts w:ascii="Arial" w:hAnsi="Arial" w:cs="Arial"/>
              </w:rPr>
              <w:t>Forschungs- und Entwicklungskosten (netto)</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39223B7A" w14:textId="19219D13" w:rsidR="004635B7" w:rsidRPr="00B23210" w:rsidRDefault="004635B7" w:rsidP="004635B7">
            <w:pPr>
              <w:pStyle w:val="TBodynormalNumber"/>
              <w:rPr>
                <w:rFonts w:ascii="Arial" w:hAnsi="Arial" w:cs="Arial"/>
              </w:rPr>
            </w:pPr>
            <w:r w:rsidRPr="00B23210">
              <w:rPr>
                <w:rFonts w:ascii="Arial" w:hAnsi="Arial" w:cs="Arial"/>
              </w:rPr>
              <w:t>117,6</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715099C6" w14:textId="232387B4" w:rsidR="004635B7" w:rsidRPr="00B23210" w:rsidRDefault="004635B7" w:rsidP="004635B7">
            <w:pPr>
              <w:pStyle w:val="TBodynormalNumber"/>
              <w:rPr>
                <w:rFonts w:ascii="Arial" w:hAnsi="Arial" w:cs="Arial"/>
              </w:rPr>
            </w:pPr>
            <w:r w:rsidRPr="00B23210">
              <w:rPr>
                <w:rFonts w:ascii="Arial" w:hAnsi="Arial" w:cs="Arial"/>
              </w:rPr>
              <w:t>118,5</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2CE3BB2B" w14:textId="46099262" w:rsidR="004635B7" w:rsidRPr="00B23210" w:rsidRDefault="004635B7" w:rsidP="004635B7">
            <w:pPr>
              <w:pStyle w:val="TBodynormalNumber"/>
              <w:rPr>
                <w:rFonts w:ascii="Arial" w:hAnsi="Arial" w:cs="Arial"/>
              </w:rPr>
            </w:pPr>
            <w:r w:rsidRPr="00B23210">
              <w:rPr>
                <w:rFonts w:ascii="Arial" w:hAnsi="Arial" w:cs="Arial"/>
                <w:color w:val="000000"/>
                <w:szCs w:val="13"/>
              </w:rPr>
              <w:t>-0,8</w:t>
            </w:r>
          </w:p>
        </w:tc>
      </w:tr>
      <w:tr w:rsidR="004635B7" w:rsidRPr="00B23210" w14:paraId="0BA6D269" w14:textId="08928837"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6D7A5C90" w14:textId="4B83D5EC" w:rsidR="004635B7" w:rsidRPr="00B23210" w:rsidRDefault="004635B7" w:rsidP="00BB29F3">
            <w:pPr>
              <w:pStyle w:val="TBodynormalText"/>
              <w:rPr>
                <w:rFonts w:ascii="Arial" w:hAnsi="Arial" w:cs="Arial"/>
              </w:rPr>
            </w:pPr>
            <w:r w:rsidRPr="00B23210">
              <w:rPr>
                <w:rFonts w:ascii="Arial" w:hAnsi="Arial" w:cs="Arial"/>
              </w:rPr>
              <w:t>in % vom Umsatz</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0A3E0098" w14:textId="25D2C928" w:rsidR="004635B7" w:rsidRPr="00B23210" w:rsidRDefault="004635B7" w:rsidP="004635B7">
            <w:pPr>
              <w:pStyle w:val="TBodynormalNumber"/>
              <w:rPr>
                <w:rFonts w:ascii="Arial" w:hAnsi="Arial" w:cs="Arial"/>
              </w:rPr>
            </w:pPr>
            <w:r w:rsidRPr="00B23210">
              <w:rPr>
                <w:rFonts w:ascii="Arial" w:hAnsi="Arial" w:cs="Arial"/>
              </w:rPr>
              <w:t>3,0</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07A97980" w14:textId="1427D229" w:rsidR="004635B7" w:rsidRPr="00B23210" w:rsidRDefault="004635B7" w:rsidP="004635B7">
            <w:pPr>
              <w:pStyle w:val="TBodynormalNumber"/>
              <w:rPr>
                <w:rFonts w:ascii="Arial" w:hAnsi="Arial" w:cs="Arial"/>
              </w:rPr>
            </w:pPr>
            <w:r w:rsidRPr="00B23210">
              <w:rPr>
                <w:rFonts w:ascii="Arial" w:hAnsi="Arial" w:cs="Arial"/>
              </w:rPr>
              <w:t>2,7</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78805256" w14:textId="318CAA77" w:rsidR="004635B7" w:rsidRPr="00B23210" w:rsidRDefault="004635B7" w:rsidP="004635B7">
            <w:pPr>
              <w:pStyle w:val="TBodynormalNumber"/>
              <w:rPr>
                <w:rFonts w:ascii="Arial" w:hAnsi="Arial" w:cs="Arial"/>
              </w:rPr>
            </w:pPr>
            <w:r w:rsidRPr="00B23210">
              <w:rPr>
                <w:rFonts w:ascii="Arial" w:hAnsi="Arial" w:cs="Arial"/>
                <w:color w:val="000000"/>
                <w:szCs w:val="13"/>
              </w:rPr>
              <w:t> </w:t>
            </w:r>
          </w:p>
        </w:tc>
      </w:tr>
      <w:tr w:rsidR="004635B7" w:rsidRPr="00B23210" w14:paraId="7BF5154A" w14:textId="74B27F91"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19E2AE62" w14:textId="1CBFAE1B" w:rsidR="004635B7" w:rsidRPr="00B23210" w:rsidRDefault="004635B7" w:rsidP="004635B7">
            <w:pPr>
              <w:pStyle w:val="TBodynormalText"/>
              <w:rPr>
                <w:rFonts w:ascii="Arial" w:hAnsi="Arial" w:cs="Arial"/>
              </w:rPr>
            </w:pPr>
            <w:r w:rsidRPr="00B23210">
              <w:rPr>
                <w:rFonts w:ascii="Arial" w:hAnsi="Arial" w:cs="Arial"/>
              </w:rPr>
              <w:t>Investitionen</w:t>
            </w:r>
            <w:r w:rsidRPr="00B23210">
              <w:rPr>
                <w:rFonts w:ascii="Arial" w:hAnsi="Arial" w:cs="Arial"/>
                <w:vertAlign w:val="superscript"/>
              </w:rPr>
              <w:t>1</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2848ADD6" w14:textId="77777777" w:rsidR="004635B7" w:rsidRPr="00B23210" w:rsidRDefault="004635B7" w:rsidP="004635B7">
            <w:pPr>
              <w:pStyle w:val="TBodynormalNumber"/>
              <w:rPr>
                <w:rFonts w:ascii="Arial" w:hAnsi="Arial" w:cs="Arial"/>
              </w:rPr>
            </w:pPr>
            <w:r w:rsidRPr="00B23210">
              <w:rPr>
                <w:rFonts w:ascii="Arial" w:hAnsi="Arial" w:cs="Arial"/>
              </w:rPr>
              <w:t>164,2</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0741A21E" w14:textId="77777777" w:rsidR="004635B7" w:rsidRPr="00B23210" w:rsidRDefault="004635B7" w:rsidP="004635B7">
            <w:pPr>
              <w:pStyle w:val="TBodynormalNumber"/>
              <w:rPr>
                <w:rFonts w:ascii="Arial" w:hAnsi="Arial" w:cs="Arial"/>
              </w:rPr>
            </w:pPr>
            <w:r w:rsidRPr="00B23210">
              <w:rPr>
                <w:rFonts w:ascii="Arial" w:hAnsi="Arial" w:cs="Arial"/>
              </w:rPr>
              <w:t>245,4</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7ED4C7EC" w14:textId="7841960F" w:rsidR="004635B7" w:rsidRPr="00B23210" w:rsidRDefault="004635B7" w:rsidP="004635B7">
            <w:pPr>
              <w:pStyle w:val="TBodynormalNumber"/>
              <w:rPr>
                <w:rFonts w:ascii="Arial" w:hAnsi="Arial" w:cs="Arial"/>
              </w:rPr>
            </w:pPr>
            <w:r w:rsidRPr="00B23210">
              <w:rPr>
                <w:rFonts w:ascii="Arial" w:hAnsi="Arial" w:cs="Arial"/>
                <w:color w:val="000000"/>
                <w:szCs w:val="13"/>
              </w:rPr>
              <w:t>-33,1</w:t>
            </w:r>
          </w:p>
        </w:tc>
      </w:tr>
      <w:tr w:rsidR="004635B7" w:rsidRPr="00B23210" w14:paraId="2A688FE0" w14:textId="2058413D"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043EA129" w14:textId="77777777" w:rsidR="004635B7" w:rsidRPr="00B23210" w:rsidRDefault="004635B7" w:rsidP="004635B7">
            <w:pPr>
              <w:pStyle w:val="TBodynormalText"/>
              <w:rPr>
                <w:rFonts w:ascii="Arial" w:hAnsi="Arial" w:cs="Arial"/>
              </w:rPr>
            </w:pPr>
            <w:r w:rsidRPr="00B23210">
              <w:rPr>
                <w:rFonts w:ascii="Arial" w:hAnsi="Arial" w:cs="Arial"/>
              </w:rPr>
              <w:t>in % vom Umsatz</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71B95D4F" w14:textId="77777777" w:rsidR="004635B7" w:rsidRPr="00B23210" w:rsidRDefault="004635B7" w:rsidP="004635B7">
            <w:pPr>
              <w:pStyle w:val="TBodynormalNumber"/>
              <w:rPr>
                <w:rFonts w:ascii="Arial" w:hAnsi="Arial" w:cs="Arial"/>
              </w:rPr>
            </w:pPr>
            <w:r w:rsidRPr="00B23210">
              <w:rPr>
                <w:rFonts w:ascii="Arial" w:hAnsi="Arial" w:cs="Arial"/>
              </w:rPr>
              <w:t>4,1</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6F3DA179" w14:textId="77777777" w:rsidR="004635B7" w:rsidRPr="00B23210" w:rsidRDefault="004635B7" w:rsidP="004635B7">
            <w:pPr>
              <w:pStyle w:val="TBodynormalNumber"/>
              <w:rPr>
                <w:rFonts w:ascii="Arial" w:hAnsi="Arial" w:cs="Arial"/>
              </w:rPr>
            </w:pPr>
            <w:r w:rsidRPr="00B23210">
              <w:rPr>
                <w:rFonts w:ascii="Arial" w:hAnsi="Arial" w:cs="Arial"/>
              </w:rPr>
              <w:t>5,6</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74CB8591" w14:textId="1AE048AE" w:rsidR="004635B7" w:rsidRPr="00B23210" w:rsidRDefault="004635B7" w:rsidP="004635B7">
            <w:pPr>
              <w:pStyle w:val="TBodynormalNumber"/>
              <w:rPr>
                <w:rFonts w:ascii="Arial" w:hAnsi="Arial" w:cs="Arial"/>
              </w:rPr>
            </w:pPr>
            <w:r w:rsidRPr="00B23210">
              <w:rPr>
                <w:rFonts w:ascii="Arial" w:hAnsi="Arial" w:cs="Arial"/>
                <w:color w:val="000000"/>
                <w:szCs w:val="13"/>
              </w:rPr>
              <w:t> </w:t>
            </w:r>
          </w:p>
        </w:tc>
      </w:tr>
      <w:tr w:rsidR="004635B7" w:rsidRPr="00B23210" w14:paraId="64886F19" w14:textId="40FDA89C"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08645407" w14:textId="19B4AD43" w:rsidR="004635B7" w:rsidRPr="00B23210" w:rsidRDefault="004635B7" w:rsidP="004635B7">
            <w:pPr>
              <w:pStyle w:val="TBodynormalText"/>
              <w:rPr>
                <w:rFonts w:ascii="Arial" w:hAnsi="Arial" w:cs="Arial"/>
              </w:rPr>
            </w:pP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0BF8473E" w14:textId="3096868D" w:rsidR="004635B7" w:rsidRPr="00B23210" w:rsidRDefault="004635B7" w:rsidP="004635B7">
            <w:pPr>
              <w:pStyle w:val="TBodynormalNumber"/>
              <w:rPr>
                <w:rFonts w:ascii="Arial" w:hAnsi="Arial" w:cs="Arial"/>
              </w:rPr>
            </w:pP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4ED1DFED" w14:textId="6ED9B235" w:rsidR="004635B7" w:rsidRPr="00B23210" w:rsidRDefault="004635B7" w:rsidP="004635B7">
            <w:pPr>
              <w:pStyle w:val="TBodynormalNumber"/>
              <w:rPr>
                <w:rFonts w:ascii="Arial" w:hAnsi="Arial" w:cs="Arial"/>
              </w:rPr>
            </w:pP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5E3A3E2A" w14:textId="2950EACB" w:rsidR="004635B7" w:rsidRPr="00B23210" w:rsidRDefault="004635B7" w:rsidP="004635B7">
            <w:pPr>
              <w:pStyle w:val="TBodynormalNumber"/>
              <w:rPr>
                <w:rFonts w:ascii="Arial" w:hAnsi="Arial" w:cs="Arial"/>
              </w:rPr>
            </w:pPr>
            <w:r w:rsidRPr="00B23210">
              <w:rPr>
                <w:rFonts w:ascii="Arial" w:hAnsi="Arial" w:cs="Arial"/>
                <w:color w:val="000000"/>
                <w:szCs w:val="13"/>
              </w:rPr>
              <w:t> </w:t>
            </w:r>
          </w:p>
        </w:tc>
      </w:tr>
      <w:tr w:rsidR="004635B7" w:rsidRPr="00B23210" w14:paraId="0D6B0361" w14:textId="67F5B479"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611AF06A" w14:textId="5863412D" w:rsidR="004635B7" w:rsidRPr="00B23210" w:rsidRDefault="004635B7" w:rsidP="004635B7">
            <w:pPr>
              <w:pStyle w:val="TBodynormalText"/>
              <w:rPr>
                <w:rFonts w:ascii="Arial" w:hAnsi="Arial" w:cs="Arial"/>
              </w:rPr>
            </w:pPr>
            <w:r w:rsidRPr="00B23210">
              <w:rPr>
                <w:rFonts w:ascii="Arial" w:hAnsi="Arial" w:cs="Arial"/>
              </w:rPr>
              <w:t>Anzahl Mitarbeiter (zum 31.03.)</w:t>
            </w:r>
            <w:r w:rsidRPr="00B23210">
              <w:rPr>
                <w:rFonts w:ascii="Arial" w:hAnsi="Arial" w:cs="Arial"/>
                <w:vertAlign w:val="superscript"/>
              </w:rPr>
              <w:t>2</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618606A5" w14:textId="77777777" w:rsidR="004635B7" w:rsidRPr="00B23210" w:rsidRDefault="004635B7" w:rsidP="004635B7">
            <w:pPr>
              <w:pStyle w:val="TBodynormalNumber"/>
              <w:rPr>
                <w:rFonts w:ascii="Arial" w:hAnsi="Arial" w:cs="Arial"/>
              </w:rPr>
            </w:pPr>
            <w:r w:rsidRPr="00B23210">
              <w:rPr>
                <w:rFonts w:ascii="Arial" w:hAnsi="Arial" w:cs="Arial"/>
              </w:rPr>
              <w:t>101.620</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6DB9D69C" w14:textId="77777777" w:rsidR="004635B7" w:rsidRPr="00B23210" w:rsidRDefault="004635B7" w:rsidP="004635B7">
            <w:pPr>
              <w:pStyle w:val="TBodynormalNumber"/>
              <w:rPr>
                <w:rFonts w:ascii="Arial" w:hAnsi="Arial" w:cs="Arial"/>
              </w:rPr>
            </w:pPr>
            <w:r w:rsidRPr="00B23210">
              <w:rPr>
                <w:rFonts w:ascii="Arial" w:hAnsi="Arial" w:cs="Arial"/>
              </w:rPr>
              <w:t>103.793</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5819651D" w14:textId="0726C333" w:rsidR="004635B7" w:rsidRPr="00B23210" w:rsidRDefault="004635B7" w:rsidP="004635B7">
            <w:pPr>
              <w:pStyle w:val="TBodynormalNumber"/>
              <w:rPr>
                <w:rFonts w:ascii="Arial" w:hAnsi="Arial" w:cs="Arial"/>
              </w:rPr>
            </w:pPr>
            <w:r w:rsidRPr="00B23210">
              <w:rPr>
                <w:rFonts w:ascii="Arial" w:hAnsi="Arial" w:cs="Arial"/>
                <w:color w:val="000000"/>
                <w:szCs w:val="13"/>
              </w:rPr>
              <w:t>-2,1</w:t>
            </w:r>
          </w:p>
        </w:tc>
      </w:tr>
      <w:tr w:rsidR="004635B7" w:rsidRPr="00B23210" w14:paraId="799FE326" w14:textId="50D1B8FB"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5D6D5882" w14:textId="77777777" w:rsidR="004635B7" w:rsidRPr="00B23210" w:rsidRDefault="004635B7" w:rsidP="004635B7">
            <w:pPr>
              <w:pStyle w:val="TBodynormalText"/>
              <w:rPr>
                <w:rFonts w:ascii="Arial" w:hAnsi="Arial" w:cs="Arial"/>
              </w:rPr>
            </w:pPr>
            <w:r w:rsidRPr="00B23210">
              <w:rPr>
                <w:rFonts w:ascii="Arial" w:hAnsi="Arial" w:cs="Arial"/>
              </w:rPr>
              <w:t> </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46E95CE0" w14:textId="77777777" w:rsidR="004635B7" w:rsidRPr="00B23210" w:rsidRDefault="004635B7" w:rsidP="004635B7">
            <w:pPr>
              <w:pStyle w:val="TBodynormalNumber"/>
              <w:rPr>
                <w:rFonts w:ascii="Arial" w:hAnsi="Arial" w:cs="Arial"/>
              </w:rPr>
            </w:pPr>
            <w:r w:rsidRPr="00B23210">
              <w:rPr>
                <w:rFonts w:ascii="Arial" w:hAnsi="Arial" w:cs="Arial"/>
              </w:rPr>
              <w:t> </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019CDB90" w14:textId="77777777" w:rsidR="004635B7" w:rsidRPr="00B23210" w:rsidRDefault="004635B7" w:rsidP="004635B7">
            <w:pPr>
              <w:pStyle w:val="TBodynormalNumber"/>
              <w:rPr>
                <w:rFonts w:ascii="Arial" w:hAnsi="Arial" w:cs="Arial"/>
              </w:rPr>
            </w:pPr>
            <w:r w:rsidRPr="00B23210">
              <w:rPr>
                <w:rFonts w:ascii="Arial" w:hAnsi="Arial" w:cs="Arial"/>
              </w:rPr>
              <w:t> </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18B25372" w14:textId="259A62C0" w:rsidR="004635B7" w:rsidRPr="00B23210" w:rsidRDefault="004635B7" w:rsidP="004635B7">
            <w:pPr>
              <w:pStyle w:val="TBodynormalNumber"/>
              <w:rPr>
                <w:rFonts w:ascii="Arial" w:hAnsi="Arial" w:cs="Arial"/>
              </w:rPr>
            </w:pPr>
            <w:r w:rsidRPr="00B23210">
              <w:rPr>
                <w:rFonts w:ascii="Arial" w:hAnsi="Arial" w:cs="Arial"/>
                <w:color w:val="000000"/>
                <w:szCs w:val="13"/>
              </w:rPr>
              <w:t> </w:t>
            </w:r>
          </w:p>
        </w:tc>
      </w:tr>
      <w:tr w:rsidR="004635B7" w:rsidRPr="00B23210" w14:paraId="73CADC8C" w14:textId="4BEDF2AE"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05DA1FB9" w14:textId="06C137B3" w:rsidR="004635B7" w:rsidRPr="00B23210" w:rsidRDefault="004635B7" w:rsidP="004635B7">
            <w:pPr>
              <w:pStyle w:val="TBodynormalText"/>
              <w:rPr>
                <w:rFonts w:ascii="Arial" w:hAnsi="Arial" w:cs="Arial"/>
              </w:rPr>
            </w:pPr>
            <w:r w:rsidRPr="00B23210">
              <w:rPr>
                <w:rFonts w:ascii="Arial" w:hAnsi="Arial" w:cs="Arial"/>
              </w:rPr>
              <w:t>Umsatz bereinigt</w:t>
            </w:r>
            <w:r w:rsidRPr="00B23210">
              <w:rPr>
                <w:rFonts w:ascii="Arial" w:hAnsi="Arial" w:cs="Arial"/>
                <w:vertAlign w:val="superscript"/>
              </w:rPr>
              <w:t>3</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1BFF9F0D" w14:textId="77777777" w:rsidR="004635B7" w:rsidRPr="00B23210" w:rsidRDefault="004635B7" w:rsidP="004635B7">
            <w:pPr>
              <w:pStyle w:val="TBodynormalNumber"/>
              <w:rPr>
                <w:rFonts w:ascii="Arial" w:hAnsi="Arial" w:cs="Arial"/>
              </w:rPr>
            </w:pPr>
            <w:r w:rsidRPr="00B23210">
              <w:rPr>
                <w:rFonts w:ascii="Arial" w:hAnsi="Arial" w:cs="Arial"/>
              </w:rPr>
              <w:t>3.885,1</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38857AF5" w14:textId="77777777" w:rsidR="004635B7" w:rsidRPr="00B23210" w:rsidRDefault="004635B7" w:rsidP="004635B7">
            <w:pPr>
              <w:pStyle w:val="TBodynormalNumber"/>
              <w:rPr>
                <w:rFonts w:ascii="Arial" w:hAnsi="Arial" w:cs="Arial"/>
              </w:rPr>
            </w:pPr>
            <w:r w:rsidRPr="00B23210">
              <w:rPr>
                <w:rFonts w:ascii="Arial" w:hAnsi="Arial" w:cs="Arial"/>
              </w:rPr>
              <w:t>4.369,9</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0283DF5F" w14:textId="751B37D7" w:rsidR="004635B7" w:rsidRPr="00B23210" w:rsidRDefault="004635B7" w:rsidP="004635B7">
            <w:pPr>
              <w:pStyle w:val="TBodynormalNumber"/>
              <w:rPr>
                <w:rFonts w:ascii="Arial" w:hAnsi="Arial" w:cs="Arial"/>
              </w:rPr>
            </w:pPr>
            <w:r w:rsidRPr="00B23210">
              <w:rPr>
                <w:rFonts w:ascii="Arial" w:hAnsi="Arial" w:cs="Arial"/>
                <w:color w:val="000000"/>
                <w:szCs w:val="13"/>
              </w:rPr>
              <w:t>-11,1</w:t>
            </w:r>
          </w:p>
        </w:tc>
      </w:tr>
      <w:tr w:rsidR="004635B7" w:rsidRPr="00B23210" w14:paraId="010291D5" w14:textId="2C90745E"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487BD501" w14:textId="50D798BE" w:rsidR="004635B7" w:rsidRPr="00B23210" w:rsidRDefault="004635B7" w:rsidP="004635B7">
            <w:pPr>
              <w:pStyle w:val="TBodynormalText"/>
              <w:rPr>
                <w:rFonts w:ascii="Arial" w:hAnsi="Arial" w:cs="Arial"/>
              </w:rPr>
            </w:pPr>
            <w:r w:rsidRPr="00B23210">
              <w:rPr>
                <w:rFonts w:ascii="Arial" w:hAnsi="Arial" w:cs="Arial"/>
              </w:rPr>
              <w:t>Bereinigtes operatives Ergebnis (EBIT bereinigt)</w:t>
            </w:r>
            <w:r w:rsidRPr="00B23210">
              <w:rPr>
                <w:rFonts w:ascii="Arial" w:hAnsi="Arial" w:cs="Arial"/>
                <w:vertAlign w:val="superscript"/>
              </w:rPr>
              <w:t>4</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51A761CD" w14:textId="77777777" w:rsidR="004635B7" w:rsidRPr="00B23210" w:rsidRDefault="004635B7" w:rsidP="004635B7">
            <w:pPr>
              <w:pStyle w:val="TBodynormalNumber"/>
              <w:rPr>
                <w:rFonts w:ascii="Arial" w:hAnsi="Arial" w:cs="Arial"/>
              </w:rPr>
            </w:pPr>
            <w:r w:rsidRPr="00B23210">
              <w:rPr>
                <w:rFonts w:ascii="Arial" w:hAnsi="Arial" w:cs="Arial"/>
              </w:rPr>
              <w:t>381,0</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1D5FD888" w14:textId="77777777" w:rsidR="004635B7" w:rsidRPr="00B23210" w:rsidRDefault="004635B7" w:rsidP="004635B7">
            <w:pPr>
              <w:pStyle w:val="TBodynormalNumber"/>
              <w:rPr>
                <w:rFonts w:ascii="Arial" w:hAnsi="Arial" w:cs="Arial"/>
              </w:rPr>
            </w:pPr>
            <w:r w:rsidRPr="00B23210">
              <w:rPr>
                <w:rFonts w:ascii="Arial" w:hAnsi="Arial" w:cs="Arial"/>
              </w:rPr>
              <w:t>534,5</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3CCCF591" w14:textId="303A3BC7" w:rsidR="004635B7" w:rsidRPr="00B23210" w:rsidRDefault="004635B7" w:rsidP="004635B7">
            <w:pPr>
              <w:pStyle w:val="TBodynormalNumber"/>
              <w:rPr>
                <w:rFonts w:ascii="Arial" w:hAnsi="Arial" w:cs="Arial"/>
              </w:rPr>
            </w:pPr>
            <w:r w:rsidRPr="00B23210">
              <w:rPr>
                <w:rFonts w:ascii="Arial" w:hAnsi="Arial" w:cs="Arial"/>
                <w:color w:val="000000"/>
                <w:szCs w:val="13"/>
              </w:rPr>
              <w:t>-28,7</w:t>
            </w:r>
          </w:p>
        </w:tc>
      </w:tr>
      <w:tr w:rsidR="004635B7" w:rsidRPr="00B23210" w14:paraId="6E8793D8" w14:textId="584C1538" w:rsidTr="00BB29F3">
        <w:trPr>
          <w:trHeight w:val="261"/>
        </w:trPr>
        <w:tc>
          <w:tcPr>
            <w:tcW w:w="5567" w:type="dxa"/>
            <w:tcBorders>
              <w:top w:val="single" w:sz="4" w:space="0" w:color="727373"/>
              <w:left w:val="none" w:sz="0" w:space="0" w:color="000000"/>
              <w:bottom w:val="single" w:sz="6" w:space="0" w:color="000000"/>
              <w:right w:val="none" w:sz="0" w:space="0" w:color="000000"/>
            </w:tcBorders>
            <w:shd w:val="clear" w:color="auto" w:fill="FFFFFF"/>
            <w:vAlign w:val="bottom"/>
          </w:tcPr>
          <w:p w14:paraId="5AA1433D" w14:textId="77777777" w:rsidR="004635B7" w:rsidRPr="00B23210" w:rsidRDefault="004635B7" w:rsidP="004635B7">
            <w:pPr>
              <w:pStyle w:val="TBodynormalText"/>
              <w:rPr>
                <w:rFonts w:ascii="Arial" w:hAnsi="Arial" w:cs="Arial"/>
              </w:rPr>
            </w:pPr>
            <w:r w:rsidRPr="00B23210">
              <w:rPr>
                <w:rFonts w:ascii="Arial" w:hAnsi="Arial" w:cs="Arial"/>
              </w:rPr>
              <w:t>in % des bereinigten Umsatzes</w:t>
            </w:r>
          </w:p>
        </w:tc>
        <w:tc>
          <w:tcPr>
            <w:tcW w:w="1369" w:type="dxa"/>
            <w:tcBorders>
              <w:top w:val="single" w:sz="4" w:space="0" w:color="727373"/>
              <w:left w:val="none" w:sz="0" w:space="0" w:color="000000"/>
              <w:bottom w:val="single" w:sz="6" w:space="0" w:color="000000"/>
              <w:right w:val="none" w:sz="0" w:space="0" w:color="000000"/>
            </w:tcBorders>
            <w:shd w:val="clear" w:color="auto" w:fill="F0F0F1"/>
            <w:vAlign w:val="bottom"/>
          </w:tcPr>
          <w:p w14:paraId="779D511A" w14:textId="77777777" w:rsidR="004635B7" w:rsidRPr="00B23210" w:rsidRDefault="004635B7" w:rsidP="004635B7">
            <w:pPr>
              <w:pStyle w:val="TBodynormalNumber"/>
              <w:rPr>
                <w:rFonts w:ascii="Arial" w:hAnsi="Arial" w:cs="Arial"/>
              </w:rPr>
            </w:pPr>
            <w:r w:rsidRPr="00B23210">
              <w:rPr>
                <w:rFonts w:ascii="Arial" w:hAnsi="Arial" w:cs="Arial"/>
              </w:rPr>
              <w:t>9,8</w:t>
            </w:r>
          </w:p>
        </w:tc>
        <w:tc>
          <w:tcPr>
            <w:tcW w:w="1369" w:type="dxa"/>
            <w:tcBorders>
              <w:top w:val="single" w:sz="4" w:space="0" w:color="727373"/>
              <w:left w:val="none" w:sz="0" w:space="0" w:color="000000"/>
              <w:bottom w:val="single" w:sz="6" w:space="0" w:color="000000"/>
              <w:right w:val="none" w:sz="0" w:space="0" w:color="000000"/>
            </w:tcBorders>
            <w:shd w:val="clear" w:color="auto" w:fill="FFFFFF"/>
            <w:vAlign w:val="bottom"/>
          </w:tcPr>
          <w:p w14:paraId="693D44DC" w14:textId="77777777" w:rsidR="004635B7" w:rsidRPr="00B23210" w:rsidRDefault="004635B7" w:rsidP="004635B7">
            <w:pPr>
              <w:pStyle w:val="TBodynormalNumber"/>
              <w:rPr>
                <w:rFonts w:ascii="Arial" w:hAnsi="Arial" w:cs="Arial"/>
              </w:rPr>
            </w:pPr>
            <w:r w:rsidRPr="00B23210">
              <w:rPr>
                <w:rFonts w:ascii="Arial" w:hAnsi="Arial" w:cs="Arial"/>
              </w:rPr>
              <w:t>12,2</w:t>
            </w:r>
          </w:p>
        </w:tc>
        <w:tc>
          <w:tcPr>
            <w:tcW w:w="1369" w:type="dxa"/>
            <w:tcBorders>
              <w:top w:val="single" w:sz="4" w:space="0" w:color="727373"/>
              <w:left w:val="none" w:sz="0" w:space="0" w:color="000000"/>
              <w:bottom w:val="single" w:sz="6" w:space="0" w:color="000000"/>
              <w:right w:val="none" w:sz="0" w:space="0" w:color="000000"/>
            </w:tcBorders>
            <w:shd w:val="clear" w:color="auto" w:fill="auto"/>
            <w:vAlign w:val="center"/>
          </w:tcPr>
          <w:p w14:paraId="79D6DB95" w14:textId="436C96CF" w:rsidR="004635B7" w:rsidRPr="00B23210" w:rsidRDefault="004635B7" w:rsidP="004635B7">
            <w:pPr>
              <w:pStyle w:val="TBodynormalNumber"/>
              <w:rPr>
                <w:rFonts w:ascii="Arial" w:hAnsi="Arial" w:cs="Arial"/>
              </w:rPr>
            </w:pPr>
            <w:r w:rsidRPr="00B23210">
              <w:rPr>
                <w:rFonts w:ascii="Arial" w:hAnsi="Arial" w:cs="Arial"/>
                <w:color w:val="000000"/>
                <w:szCs w:val="13"/>
              </w:rPr>
              <w:t> </w:t>
            </w:r>
          </w:p>
        </w:tc>
      </w:tr>
      <w:tr w:rsidR="00FF2B76" w:rsidRPr="00B23210" w14:paraId="0054F50E" w14:textId="1F300587" w:rsidTr="00BB29F3">
        <w:trPr>
          <w:trHeight w:val="139"/>
        </w:trPr>
        <w:tc>
          <w:tcPr>
            <w:tcW w:w="5567" w:type="dxa"/>
            <w:tcBorders>
              <w:top w:val="single" w:sz="6" w:space="0" w:color="000000"/>
              <w:left w:val="none" w:sz="0" w:space="0" w:color="000000"/>
              <w:bottom w:val="none" w:sz="0" w:space="0" w:color="000000"/>
              <w:right w:val="none" w:sz="0" w:space="0" w:color="000000"/>
            </w:tcBorders>
            <w:shd w:val="clear" w:color="auto" w:fill="FFFFFF"/>
            <w:vAlign w:val="bottom"/>
          </w:tcPr>
          <w:p w14:paraId="623FC332" w14:textId="77777777" w:rsidR="00FF2B76" w:rsidRPr="00B23210" w:rsidRDefault="00FF2B76" w:rsidP="00FF2B76">
            <w:pPr>
              <w:pStyle w:val="TDummyRow"/>
              <w:jc w:val="left"/>
              <w:rPr>
                <w:rFonts w:ascii="Arial" w:hAnsi="Arial" w:cs="Arial"/>
              </w:rPr>
            </w:pPr>
          </w:p>
        </w:tc>
        <w:tc>
          <w:tcPr>
            <w:tcW w:w="1369" w:type="dxa"/>
            <w:tcBorders>
              <w:top w:val="single" w:sz="6" w:space="0" w:color="000000"/>
              <w:left w:val="none" w:sz="0" w:space="0" w:color="000000"/>
              <w:bottom w:val="none" w:sz="0" w:space="0" w:color="000000"/>
              <w:right w:val="none" w:sz="0" w:space="0" w:color="000000"/>
            </w:tcBorders>
            <w:shd w:val="clear" w:color="auto" w:fill="FFFFFF"/>
            <w:vAlign w:val="bottom"/>
          </w:tcPr>
          <w:p w14:paraId="43304D93" w14:textId="77777777" w:rsidR="00FF2B76" w:rsidRPr="00B23210" w:rsidRDefault="00FF2B76" w:rsidP="00FF2B76">
            <w:pPr>
              <w:pStyle w:val="TDummyRow"/>
              <w:jc w:val="left"/>
              <w:rPr>
                <w:rFonts w:ascii="Arial" w:hAnsi="Arial" w:cs="Arial"/>
              </w:rPr>
            </w:pPr>
          </w:p>
        </w:tc>
        <w:tc>
          <w:tcPr>
            <w:tcW w:w="1369" w:type="dxa"/>
            <w:tcBorders>
              <w:top w:val="single" w:sz="6" w:space="0" w:color="000000"/>
              <w:left w:val="none" w:sz="0" w:space="0" w:color="000000"/>
              <w:bottom w:val="none" w:sz="0" w:space="0" w:color="000000"/>
              <w:right w:val="none" w:sz="0" w:space="0" w:color="000000"/>
            </w:tcBorders>
            <w:shd w:val="clear" w:color="auto" w:fill="FFFFFF"/>
            <w:vAlign w:val="bottom"/>
          </w:tcPr>
          <w:p w14:paraId="2F1CD646" w14:textId="77777777" w:rsidR="00FF2B76" w:rsidRPr="00B23210" w:rsidRDefault="00FF2B76" w:rsidP="00FF2B76">
            <w:pPr>
              <w:pStyle w:val="TDummyRow"/>
              <w:jc w:val="left"/>
              <w:rPr>
                <w:rFonts w:ascii="Arial" w:hAnsi="Arial" w:cs="Arial"/>
              </w:rPr>
            </w:pPr>
          </w:p>
        </w:tc>
        <w:tc>
          <w:tcPr>
            <w:tcW w:w="1369" w:type="dxa"/>
            <w:tcBorders>
              <w:top w:val="single" w:sz="6" w:space="0" w:color="000000"/>
              <w:left w:val="none" w:sz="0" w:space="0" w:color="000000"/>
              <w:bottom w:val="none" w:sz="0" w:space="0" w:color="000000"/>
              <w:right w:val="none" w:sz="0" w:space="0" w:color="000000"/>
            </w:tcBorders>
            <w:shd w:val="clear" w:color="auto" w:fill="FFFFFF"/>
          </w:tcPr>
          <w:p w14:paraId="1050DF24" w14:textId="77777777" w:rsidR="00FF2B76" w:rsidRPr="00B23210" w:rsidRDefault="00FF2B76" w:rsidP="00FF2B76">
            <w:pPr>
              <w:pStyle w:val="TDummyRow"/>
              <w:jc w:val="left"/>
              <w:rPr>
                <w:rFonts w:ascii="Arial" w:hAnsi="Arial" w:cs="Arial"/>
              </w:rPr>
            </w:pPr>
          </w:p>
        </w:tc>
      </w:tr>
      <w:tr w:rsidR="00A538A1" w:rsidRPr="00B23210" w14:paraId="23CD8501" w14:textId="77777777" w:rsidTr="00FF6E37">
        <w:trPr>
          <w:trHeight w:val="348"/>
        </w:trPr>
        <w:tc>
          <w:tcPr>
            <w:tcW w:w="5567" w:type="dxa"/>
            <w:tcBorders>
              <w:top w:val="single" w:sz="6" w:space="0" w:color="000000"/>
              <w:left w:val="none" w:sz="0" w:space="0" w:color="000000"/>
              <w:bottom w:val="none" w:sz="0" w:space="0" w:color="000000"/>
              <w:right w:val="none" w:sz="0" w:space="0" w:color="000000"/>
            </w:tcBorders>
            <w:shd w:val="clear" w:color="auto" w:fill="FFFFFF"/>
            <w:vAlign w:val="bottom"/>
          </w:tcPr>
          <w:p w14:paraId="789E7282" w14:textId="77777777" w:rsidR="00A538A1" w:rsidRPr="00B23210" w:rsidRDefault="00A538A1" w:rsidP="00725F48">
            <w:pPr>
              <w:pStyle w:val="THeadfirstText"/>
              <w:rPr>
                <w:rFonts w:ascii="Arial" w:hAnsi="Arial" w:cs="Arial"/>
              </w:rPr>
            </w:pPr>
            <w:r w:rsidRPr="00B23210">
              <w:rPr>
                <w:rFonts w:ascii="Arial" w:hAnsi="Arial" w:cs="Arial"/>
              </w:rPr>
              <w:t> </w:t>
            </w:r>
          </w:p>
        </w:tc>
        <w:tc>
          <w:tcPr>
            <w:tcW w:w="4107" w:type="dxa"/>
            <w:gridSpan w:val="3"/>
            <w:tcBorders>
              <w:top w:val="single" w:sz="6" w:space="0" w:color="000000"/>
              <w:left w:val="none" w:sz="0" w:space="0" w:color="000000"/>
              <w:bottom w:val="single" w:sz="6" w:space="0" w:color="000000"/>
              <w:right w:val="none" w:sz="0" w:space="0" w:color="000000"/>
            </w:tcBorders>
            <w:shd w:val="clear" w:color="auto" w:fill="FFFFFF"/>
            <w:vAlign w:val="bottom"/>
          </w:tcPr>
          <w:p w14:paraId="05AEF3D9" w14:textId="53C3C53D" w:rsidR="00A538A1" w:rsidRPr="00B23210" w:rsidRDefault="00A538A1" w:rsidP="00725F48">
            <w:pPr>
              <w:pStyle w:val="THeadfirstNumber"/>
              <w:jc w:val="center"/>
              <w:rPr>
                <w:rFonts w:ascii="Arial" w:hAnsi="Arial" w:cs="Arial"/>
              </w:rPr>
            </w:pPr>
            <w:r w:rsidRPr="00B23210">
              <w:rPr>
                <w:rFonts w:ascii="Arial" w:hAnsi="Arial" w:cs="Arial"/>
              </w:rPr>
              <w:t>1. Januar bis 31. März</w:t>
            </w:r>
          </w:p>
        </w:tc>
      </w:tr>
      <w:tr w:rsidR="009B3C07" w:rsidRPr="00B23210" w14:paraId="0126B209" w14:textId="77777777" w:rsidTr="00725F48">
        <w:trPr>
          <w:trHeight w:val="232"/>
        </w:trPr>
        <w:tc>
          <w:tcPr>
            <w:tcW w:w="5567" w:type="dxa"/>
            <w:tcBorders>
              <w:top w:val="none" w:sz="0" w:space="0" w:color="000000"/>
              <w:left w:val="none" w:sz="0" w:space="0" w:color="000000"/>
              <w:bottom w:val="single" w:sz="6" w:space="0" w:color="000000"/>
              <w:right w:val="none" w:sz="0" w:space="0" w:color="000000"/>
            </w:tcBorders>
            <w:shd w:val="clear" w:color="auto" w:fill="FFFFFF"/>
            <w:vAlign w:val="bottom"/>
          </w:tcPr>
          <w:p w14:paraId="1E74418B" w14:textId="56C39D6D" w:rsidR="009B3C07" w:rsidRPr="00B23210" w:rsidRDefault="009B3C07" w:rsidP="009B3C07">
            <w:pPr>
              <w:pStyle w:val="THeadlastText"/>
              <w:rPr>
                <w:rFonts w:ascii="Arial" w:hAnsi="Arial" w:cs="Arial"/>
                <w:b/>
                <w:bCs/>
              </w:rPr>
            </w:pPr>
            <w:r w:rsidRPr="00B23210">
              <w:rPr>
                <w:rFonts w:ascii="Arial" w:hAnsi="Arial" w:cs="Arial"/>
                <w:b/>
                <w:bCs/>
              </w:rPr>
              <w:t>Powertrain Technologies in Mio</w:t>
            </w:r>
            <w:r w:rsidRPr="00B23210">
              <w:rPr>
                <w:rFonts w:ascii="Arial" w:hAnsi="Arial" w:cs="Arial"/>
                <w:b/>
                <w:bCs/>
                <w:sz w:val="8"/>
              </w:rPr>
              <w:t> </w:t>
            </w:r>
            <w:r w:rsidRPr="00B23210">
              <w:rPr>
                <w:rFonts w:ascii="Arial" w:hAnsi="Arial" w:cs="Arial"/>
                <w:b/>
                <w:bCs/>
              </w:rPr>
              <w:t>€</w:t>
            </w:r>
          </w:p>
        </w:tc>
        <w:tc>
          <w:tcPr>
            <w:tcW w:w="1369" w:type="dxa"/>
            <w:tcBorders>
              <w:top w:val="single" w:sz="6" w:space="0" w:color="000000"/>
              <w:left w:val="none" w:sz="0" w:space="0" w:color="000000"/>
              <w:bottom w:val="single" w:sz="6" w:space="0" w:color="000000"/>
              <w:right w:val="none" w:sz="0" w:space="0" w:color="000000"/>
            </w:tcBorders>
            <w:shd w:val="clear" w:color="auto" w:fill="FFFFFF"/>
            <w:vAlign w:val="bottom"/>
          </w:tcPr>
          <w:p w14:paraId="6D034497" w14:textId="78CEDFBC" w:rsidR="009B3C07" w:rsidRPr="00B23210" w:rsidRDefault="009B3C07" w:rsidP="009B3C07">
            <w:pPr>
              <w:pStyle w:val="THeadlastNumber"/>
              <w:rPr>
                <w:rFonts w:ascii="Arial" w:hAnsi="Arial" w:cs="Arial"/>
              </w:rPr>
            </w:pPr>
            <w:r w:rsidRPr="00B23210">
              <w:rPr>
                <w:rFonts w:ascii="Arial" w:hAnsi="Arial" w:cs="Arial"/>
              </w:rPr>
              <w:t>2020</w:t>
            </w:r>
          </w:p>
        </w:tc>
        <w:tc>
          <w:tcPr>
            <w:tcW w:w="1369" w:type="dxa"/>
            <w:tcBorders>
              <w:top w:val="single" w:sz="6" w:space="0" w:color="000000"/>
              <w:left w:val="none" w:sz="0" w:space="0" w:color="000000"/>
              <w:bottom w:val="single" w:sz="6" w:space="0" w:color="000000"/>
              <w:right w:val="none" w:sz="0" w:space="0" w:color="000000"/>
            </w:tcBorders>
            <w:shd w:val="clear" w:color="auto" w:fill="auto"/>
            <w:vAlign w:val="bottom"/>
          </w:tcPr>
          <w:p w14:paraId="316B3F8E" w14:textId="08E9F311" w:rsidR="009B3C07" w:rsidRPr="00B23210" w:rsidRDefault="009B3C07" w:rsidP="009B3C07">
            <w:pPr>
              <w:pStyle w:val="THeadlastNumber"/>
              <w:rPr>
                <w:rFonts w:ascii="Arial" w:hAnsi="Arial" w:cs="Arial"/>
              </w:rPr>
            </w:pPr>
            <w:r w:rsidRPr="00B23210">
              <w:rPr>
                <w:rFonts w:ascii="Arial" w:hAnsi="Arial" w:cs="Arial"/>
              </w:rPr>
              <w:t>2019</w:t>
            </w:r>
          </w:p>
        </w:tc>
        <w:tc>
          <w:tcPr>
            <w:tcW w:w="1369" w:type="dxa"/>
            <w:tcBorders>
              <w:top w:val="single" w:sz="6" w:space="0" w:color="000000"/>
              <w:left w:val="none" w:sz="0" w:space="0" w:color="000000"/>
              <w:bottom w:val="single" w:sz="6" w:space="0" w:color="000000"/>
              <w:right w:val="none" w:sz="0" w:space="0" w:color="000000"/>
            </w:tcBorders>
            <w:shd w:val="clear" w:color="auto" w:fill="auto"/>
          </w:tcPr>
          <w:p w14:paraId="7A71F73C" w14:textId="77777777" w:rsidR="009B3C07" w:rsidRPr="00B23210" w:rsidRDefault="009B3C07" w:rsidP="009B3C07">
            <w:pPr>
              <w:pStyle w:val="THeadlastNumber"/>
              <w:rPr>
                <w:rFonts w:ascii="Arial" w:hAnsi="Arial" w:cs="Arial"/>
              </w:rPr>
            </w:pPr>
            <w:r w:rsidRPr="00B23210">
              <w:rPr>
                <w:rFonts w:ascii="Arial" w:hAnsi="Arial" w:cs="Arial"/>
                <w:lang w:eastAsia="de-DE" w:bidi="de-DE"/>
              </w:rPr>
              <w:t>Δ in %</w:t>
            </w:r>
          </w:p>
        </w:tc>
      </w:tr>
      <w:tr w:rsidR="0018402B" w:rsidRPr="00B23210" w14:paraId="4441E3B7" w14:textId="77777777" w:rsidTr="00BB29F3">
        <w:trPr>
          <w:trHeight w:val="232"/>
        </w:trPr>
        <w:tc>
          <w:tcPr>
            <w:tcW w:w="5567" w:type="dxa"/>
            <w:tcBorders>
              <w:top w:val="single" w:sz="6" w:space="0" w:color="000000"/>
              <w:left w:val="none" w:sz="0" w:space="0" w:color="000000"/>
              <w:bottom w:val="single" w:sz="4" w:space="0" w:color="727373"/>
              <w:right w:val="none" w:sz="0" w:space="0" w:color="000000"/>
            </w:tcBorders>
            <w:shd w:val="clear" w:color="auto" w:fill="FFFFFF"/>
            <w:vAlign w:val="bottom"/>
          </w:tcPr>
          <w:p w14:paraId="4488B2D9" w14:textId="2EE87AE4" w:rsidR="0018402B" w:rsidRPr="00B23210" w:rsidRDefault="0018402B" w:rsidP="0018402B">
            <w:pPr>
              <w:pStyle w:val="TBodynormalText"/>
              <w:rPr>
                <w:rFonts w:ascii="Arial" w:hAnsi="Arial" w:cs="Arial"/>
              </w:rPr>
            </w:pPr>
            <w:r w:rsidRPr="00B23210">
              <w:rPr>
                <w:rFonts w:ascii="Arial" w:hAnsi="Arial" w:cs="Arial"/>
              </w:rPr>
              <w:t>Umsatz</w:t>
            </w:r>
          </w:p>
        </w:tc>
        <w:tc>
          <w:tcPr>
            <w:tcW w:w="1369" w:type="dxa"/>
            <w:tcBorders>
              <w:top w:val="single" w:sz="6" w:space="0" w:color="000000"/>
              <w:left w:val="none" w:sz="0" w:space="0" w:color="000000"/>
              <w:bottom w:val="single" w:sz="4" w:space="0" w:color="727373"/>
              <w:right w:val="none" w:sz="0" w:space="0" w:color="000000"/>
            </w:tcBorders>
            <w:shd w:val="clear" w:color="auto" w:fill="F0F0F1"/>
            <w:vAlign w:val="bottom"/>
          </w:tcPr>
          <w:p w14:paraId="4B4215C9" w14:textId="705327F9" w:rsidR="0018402B" w:rsidRPr="00B23210" w:rsidRDefault="0018402B" w:rsidP="0018402B">
            <w:pPr>
              <w:pStyle w:val="TBodynormalNumber"/>
              <w:rPr>
                <w:rFonts w:ascii="Arial" w:hAnsi="Arial" w:cs="Arial"/>
              </w:rPr>
            </w:pPr>
            <w:r w:rsidRPr="00B23210">
              <w:rPr>
                <w:rFonts w:ascii="Arial" w:hAnsi="Arial" w:cs="Arial"/>
              </w:rPr>
              <w:t>1.829,0</w:t>
            </w:r>
          </w:p>
        </w:tc>
        <w:tc>
          <w:tcPr>
            <w:tcW w:w="1369" w:type="dxa"/>
            <w:tcBorders>
              <w:top w:val="single" w:sz="6" w:space="0" w:color="000000"/>
              <w:left w:val="none" w:sz="0" w:space="0" w:color="000000"/>
              <w:bottom w:val="single" w:sz="4" w:space="0" w:color="727373"/>
              <w:right w:val="none" w:sz="0" w:space="0" w:color="000000"/>
            </w:tcBorders>
            <w:shd w:val="clear" w:color="auto" w:fill="FFFFFF"/>
            <w:vAlign w:val="bottom"/>
          </w:tcPr>
          <w:p w14:paraId="414A94FD" w14:textId="22D1EF2D" w:rsidR="0018402B" w:rsidRPr="00B23210" w:rsidRDefault="0018402B" w:rsidP="0018402B">
            <w:pPr>
              <w:pStyle w:val="TBodynormalNumber"/>
              <w:rPr>
                <w:rFonts w:ascii="Arial" w:hAnsi="Arial" w:cs="Arial"/>
              </w:rPr>
            </w:pPr>
            <w:r w:rsidRPr="00B23210">
              <w:rPr>
                <w:rFonts w:ascii="Arial" w:hAnsi="Arial" w:cs="Arial"/>
              </w:rPr>
              <w:t>2.005,6</w:t>
            </w:r>
          </w:p>
        </w:tc>
        <w:tc>
          <w:tcPr>
            <w:tcW w:w="1369" w:type="dxa"/>
            <w:tcBorders>
              <w:top w:val="single" w:sz="6" w:space="0" w:color="000000"/>
              <w:left w:val="none" w:sz="0" w:space="0" w:color="000000"/>
              <w:bottom w:val="single" w:sz="4" w:space="0" w:color="727373"/>
              <w:right w:val="none" w:sz="0" w:space="0" w:color="000000"/>
            </w:tcBorders>
            <w:shd w:val="clear" w:color="auto" w:fill="auto"/>
            <w:vAlign w:val="center"/>
          </w:tcPr>
          <w:p w14:paraId="654286FF" w14:textId="451400C2" w:rsidR="0018402B" w:rsidRPr="00B23210" w:rsidRDefault="0018402B" w:rsidP="0018402B">
            <w:pPr>
              <w:pStyle w:val="TBodynormalNumber"/>
              <w:rPr>
                <w:rFonts w:ascii="Arial" w:hAnsi="Arial" w:cs="Arial"/>
              </w:rPr>
            </w:pPr>
            <w:r w:rsidRPr="00B23210">
              <w:rPr>
                <w:rFonts w:ascii="Arial" w:hAnsi="Arial" w:cs="Arial"/>
                <w:color w:val="000000"/>
                <w:szCs w:val="13"/>
              </w:rPr>
              <w:t>-8,8</w:t>
            </w:r>
          </w:p>
        </w:tc>
      </w:tr>
      <w:tr w:rsidR="0018402B" w:rsidRPr="00B23210" w14:paraId="558EC873" w14:textId="77777777"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2EC9BFB8" w14:textId="7A38B996" w:rsidR="0018402B" w:rsidRPr="00B23210" w:rsidRDefault="0018402B" w:rsidP="0018402B">
            <w:pPr>
              <w:pStyle w:val="TBodynormalText"/>
              <w:rPr>
                <w:rFonts w:ascii="Arial" w:hAnsi="Arial" w:cs="Arial"/>
              </w:rPr>
            </w:pPr>
            <w:r w:rsidRPr="00B23210">
              <w:rPr>
                <w:rFonts w:ascii="Arial" w:hAnsi="Arial" w:cs="Arial"/>
              </w:rPr>
              <w:t>EBITDA</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0CCCC053" w14:textId="19B24C80" w:rsidR="0018402B" w:rsidRPr="00B23210" w:rsidRDefault="0018402B" w:rsidP="0018402B">
            <w:pPr>
              <w:pStyle w:val="TBodynormalNumber"/>
              <w:rPr>
                <w:rFonts w:ascii="Arial" w:hAnsi="Arial" w:cs="Arial"/>
              </w:rPr>
            </w:pPr>
            <w:r w:rsidRPr="00B23210">
              <w:rPr>
                <w:rFonts w:ascii="Arial" w:hAnsi="Arial" w:cs="Arial"/>
              </w:rPr>
              <w:t>116,5</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25FAF8C3" w14:textId="34CAEB8B" w:rsidR="0018402B" w:rsidRPr="00B23210" w:rsidRDefault="0018402B" w:rsidP="0018402B">
            <w:pPr>
              <w:pStyle w:val="TBodynormalNumber"/>
              <w:rPr>
                <w:rFonts w:ascii="Arial" w:hAnsi="Arial" w:cs="Arial"/>
              </w:rPr>
            </w:pPr>
            <w:r w:rsidRPr="00B23210">
              <w:rPr>
                <w:rFonts w:ascii="Arial" w:hAnsi="Arial" w:cs="Arial"/>
              </w:rPr>
              <w:t>186,0</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282604B1" w14:textId="2B6DE68C" w:rsidR="0018402B" w:rsidRPr="00B23210" w:rsidRDefault="0018402B" w:rsidP="0018402B">
            <w:pPr>
              <w:pStyle w:val="TBodynormalNumber"/>
              <w:rPr>
                <w:rFonts w:ascii="Arial" w:hAnsi="Arial" w:cs="Arial"/>
              </w:rPr>
            </w:pPr>
            <w:r w:rsidRPr="00B23210">
              <w:rPr>
                <w:rFonts w:ascii="Arial" w:hAnsi="Arial" w:cs="Arial"/>
                <w:color w:val="000000"/>
                <w:szCs w:val="13"/>
              </w:rPr>
              <w:t>-37,4</w:t>
            </w:r>
          </w:p>
        </w:tc>
      </w:tr>
      <w:tr w:rsidR="0018402B" w:rsidRPr="00B23210" w14:paraId="2C8804EE" w14:textId="77777777"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61ACCEEC" w14:textId="0E406AD0" w:rsidR="0018402B" w:rsidRPr="00B23210" w:rsidRDefault="0018402B" w:rsidP="0018402B">
            <w:pPr>
              <w:pStyle w:val="TBodynormalText"/>
              <w:rPr>
                <w:rFonts w:ascii="Arial" w:hAnsi="Arial" w:cs="Arial"/>
              </w:rPr>
            </w:pPr>
            <w:r w:rsidRPr="00B23210">
              <w:rPr>
                <w:rFonts w:ascii="Arial" w:hAnsi="Arial" w:cs="Arial"/>
              </w:rPr>
              <w:t>in % vom Umsatz</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3D8B2A32" w14:textId="54493325" w:rsidR="0018402B" w:rsidRPr="00B23210" w:rsidRDefault="0018402B" w:rsidP="0018402B">
            <w:pPr>
              <w:pStyle w:val="TBodynormalNumber"/>
              <w:rPr>
                <w:rFonts w:ascii="Arial" w:hAnsi="Arial" w:cs="Arial"/>
              </w:rPr>
            </w:pPr>
            <w:r w:rsidRPr="00B23210">
              <w:rPr>
                <w:rFonts w:ascii="Arial" w:hAnsi="Arial" w:cs="Arial"/>
              </w:rPr>
              <w:t>6,4</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1EDEA0AD" w14:textId="735CBB60" w:rsidR="0018402B" w:rsidRPr="00B23210" w:rsidRDefault="0018402B" w:rsidP="0018402B">
            <w:pPr>
              <w:pStyle w:val="TBodynormalNumber"/>
              <w:rPr>
                <w:rFonts w:ascii="Arial" w:hAnsi="Arial" w:cs="Arial"/>
              </w:rPr>
            </w:pPr>
            <w:r w:rsidRPr="00B23210">
              <w:rPr>
                <w:rFonts w:ascii="Arial" w:hAnsi="Arial" w:cs="Arial"/>
              </w:rPr>
              <w:t>9,3</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5DC6BE86" w14:textId="0B7D1FDC" w:rsidR="0018402B" w:rsidRPr="00B23210" w:rsidRDefault="0018402B" w:rsidP="0018402B">
            <w:pPr>
              <w:pStyle w:val="TBodynormalNumber"/>
              <w:rPr>
                <w:rFonts w:ascii="Arial" w:hAnsi="Arial" w:cs="Arial"/>
              </w:rPr>
            </w:pPr>
            <w:r w:rsidRPr="00B23210">
              <w:rPr>
                <w:rFonts w:ascii="Arial" w:hAnsi="Arial" w:cs="Arial"/>
                <w:color w:val="000000"/>
                <w:szCs w:val="13"/>
              </w:rPr>
              <w:t> </w:t>
            </w:r>
          </w:p>
        </w:tc>
      </w:tr>
      <w:tr w:rsidR="0018402B" w:rsidRPr="00B23210" w14:paraId="55AC3CA5" w14:textId="77777777"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7931E7AA" w14:textId="0FDE05B1" w:rsidR="0018402B" w:rsidRPr="00B23210" w:rsidRDefault="0018402B" w:rsidP="0018402B">
            <w:pPr>
              <w:pStyle w:val="TBodynormalText"/>
              <w:rPr>
                <w:rFonts w:ascii="Arial" w:hAnsi="Arial" w:cs="Arial"/>
              </w:rPr>
            </w:pPr>
            <w:r w:rsidRPr="00B23210">
              <w:rPr>
                <w:rFonts w:ascii="Arial" w:hAnsi="Arial" w:cs="Arial"/>
                <w:noProof/>
              </w:rPr>
              <w:t>EBIT</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0A91505C" w14:textId="68727CF7" w:rsidR="0018402B" w:rsidRPr="00B23210" w:rsidRDefault="0018402B" w:rsidP="0018402B">
            <w:pPr>
              <w:pStyle w:val="TBodynormalNumber"/>
              <w:rPr>
                <w:rFonts w:ascii="Arial" w:hAnsi="Arial" w:cs="Arial"/>
              </w:rPr>
            </w:pPr>
            <w:r w:rsidRPr="00B23210">
              <w:rPr>
                <w:rFonts w:ascii="Arial" w:hAnsi="Arial" w:cs="Arial"/>
              </w:rPr>
              <w:t>–22,9</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03C4869C" w14:textId="73DE39C3" w:rsidR="0018402B" w:rsidRPr="00B23210" w:rsidRDefault="0018402B" w:rsidP="0018402B">
            <w:pPr>
              <w:pStyle w:val="TBodynormalNumber"/>
              <w:rPr>
                <w:rFonts w:ascii="Arial" w:hAnsi="Arial" w:cs="Arial"/>
              </w:rPr>
            </w:pPr>
            <w:r w:rsidRPr="00B23210">
              <w:rPr>
                <w:rFonts w:ascii="Arial" w:hAnsi="Arial" w:cs="Arial"/>
              </w:rPr>
              <w:t>60,9</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256CB018" w14:textId="32325B0F" w:rsidR="0018402B" w:rsidRPr="00B23210" w:rsidRDefault="0018402B" w:rsidP="0018402B">
            <w:pPr>
              <w:pStyle w:val="TBodynormalNumber"/>
              <w:rPr>
                <w:rFonts w:ascii="Arial" w:hAnsi="Arial" w:cs="Arial"/>
              </w:rPr>
            </w:pPr>
            <w:r w:rsidRPr="00B23210">
              <w:rPr>
                <w:rFonts w:ascii="Arial" w:hAnsi="Arial" w:cs="Arial"/>
                <w:color w:val="000000"/>
                <w:szCs w:val="13"/>
              </w:rPr>
              <w:t>-137,6</w:t>
            </w:r>
          </w:p>
        </w:tc>
      </w:tr>
      <w:tr w:rsidR="0018402B" w:rsidRPr="00B23210" w14:paraId="7865F8BB" w14:textId="77777777"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4B9F5B0F" w14:textId="4BBBEC94" w:rsidR="0018402B" w:rsidRPr="00B23210" w:rsidRDefault="0018402B" w:rsidP="0018402B">
            <w:pPr>
              <w:pStyle w:val="TBodynormalText"/>
              <w:rPr>
                <w:rFonts w:ascii="Arial" w:hAnsi="Arial" w:cs="Arial"/>
              </w:rPr>
            </w:pPr>
            <w:r w:rsidRPr="00B23210">
              <w:rPr>
                <w:rFonts w:ascii="Arial" w:hAnsi="Arial" w:cs="Arial"/>
              </w:rPr>
              <w:t>in % vom Umsatz</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3B75357A" w14:textId="6FBE995A" w:rsidR="0018402B" w:rsidRPr="00B23210" w:rsidRDefault="0018402B" w:rsidP="0018402B">
            <w:pPr>
              <w:pStyle w:val="TBodynormalNumber"/>
              <w:rPr>
                <w:rFonts w:ascii="Arial" w:hAnsi="Arial" w:cs="Arial"/>
              </w:rPr>
            </w:pPr>
            <w:r w:rsidRPr="00B23210">
              <w:rPr>
                <w:rFonts w:ascii="Arial" w:hAnsi="Arial" w:cs="Arial"/>
              </w:rPr>
              <w:t>–1,3</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1A9159CC" w14:textId="7A5BF28C" w:rsidR="0018402B" w:rsidRPr="00B23210" w:rsidRDefault="0018402B" w:rsidP="0018402B">
            <w:pPr>
              <w:pStyle w:val="TBodynormalNumber"/>
              <w:rPr>
                <w:rFonts w:ascii="Arial" w:hAnsi="Arial" w:cs="Arial"/>
              </w:rPr>
            </w:pPr>
            <w:r w:rsidRPr="00B23210">
              <w:rPr>
                <w:rFonts w:ascii="Arial" w:hAnsi="Arial" w:cs="Arial"/>
              </w:rPr>
              <w:t>3,0</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552E9DBB" w14:textId="47E2347A" w:rsidR="0018402B" w:rsidRPr="00B23210" w:rsidRDefault="0018402B" w:rsidP="0018402B">
            <w:pPr>
              <w:pStyle w:val="TBodynormalNumber"/>
              <w:rPr>
                <w:rFonts w:ascii="Arial" w:hAnsi="Arial" w:cs="Arial"/>
              </w:rPr>
            </w:pPr>
            <w:r w:rsidRPr="00B23210">
              <w:rPr>
                <w:rFonts w:ascii="Arial" w:hAnsi="Arial" w:cs="Arial"/>
                <w:color w:val="000000"/>
                <w:szCs w:val="13"/>
              </w:rPr>
              <w:t> </w:t>
            </w:r>
          </w:p>
        </w:tc>
      </w:tr>
      <w:tr w:rsidR="0018402B" w:rsidRPr="00B23210" w14:paraId="55E24179" w14:textId="77777777"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7B040A0D" w14:textId="411E1BEB" w:rsidR="0018402B" w:rsidRPr="00B23210" w:rsidRDefault="0018402B" w:rsidP="0018402B">
            <w:pPr>
              <w:pStyle w:val="TBodynormalText"/>
              <w:rPr>
                <w:rFonts w:ascii="Arial" w:hAnsi="Arial" w:cs="Arial"/>
              </w:rPr>
            </w:pPr>
            <w:r w:rsidRPr="00B23210">
              <w:rPr>
                <w:rFonts w:ascii="Arial" w:hAnsi="Arial" w:cs="Arial"/>
              </w:rPr>
              <w:t>Forschungs- und Entwicklungskosten (netto)</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6502991E" w14:textId="771EB107" w:rsidR="0018402B" w:rsidRPr="00B23210" w:rsidRDefault="0018402B" w:rsidP="0018402B">
            <w:pPr>
              <w:pStyle w:val="TBodynormalNumber"/>
              <w:rPr>
                <w:rFonts w:ascii="Arial" w:hAnsi="Arial" w:cs="Arial"/>
              </w:rPr>
            </w:pPr>
            <w:r w:rsidRPr="00B23210">
              <w:rPr>
                <w:rFonts w:ascii="Arial" w:hAnsi="Arial" w:cs="Arial"/>
              </w:rPr>
              <w:t>190</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2FB9129A" w14:textId="4EF5E97B" w:rsidR="0018402B" w:rsidRPr="00B23210" w:rsidRDefault="0018402B" w:rsidP="0018402B">
            <w:pPr>
              <w:pStyle w:val="TBodynormalNumber"/>
              <w:rPr>
                <w:rFonts w:ascii="Arial" w:hAnsi="Arial" w:cs="Arial"/>
              </w:rPr>
            </w:pPr>
            <w:r w:rsidRPr="00B23210">
              <w:rPr>
                <w:rFonts w:ascii="Arial" w:hAnsi="Arial" w:cs="Arial"/>
              </w:rPr>
              <w:t>183,1</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6A0B7DB4" w14:textId="50DC0BE4" w:rsidR="0018402B" w:rsidRPr="00B23210" w:rsidRDefault="0018402B" w:rsidP="0018402B">
            <w:pPr>
              <w:pStyle w:val="TBodynormalNumber"/>
              <w:rPr>
                <w:rFonts w:ascii="Arial" w:hAnsi="Arial" w:cs="Arial"/>
              </w:rPr>
            </w:pPr>
            <w:r w:rsidRPr="00B23210">
              <w:rPr>
                <w:rFonts w:ascii="Arial" w:hAnsi="Arial" w:cs="Arial"/>
                <w:color w:val="000000"/>
                <w:szCs w:val="13"/>
              </w:rPr>
              <w:t>3,8</w:t>
            </w:r>
          </w:p>
        </w:tc>
      </w:tr>
      <w:tr w:rsidR="0018402B" w:rsidRPr="00B23210" w14:paraId="3B195714" w14:textId="77777777"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63F6AC0D" w14:textId="3B21EE4C" w:rsidR="0018402B" w:rsidRPr="00B23210" w:rsidRDefault="0018402B" w:rsidP="0018402B">
            <w:pPr>
              <w:pStyle w:val="TBodynormalText"/>
              <w:rPr>
                <w:rFonts w:ascii="Arial" w:hAnsi="Arial" w:cs="Arial"/>
              </w:rPr>
            </w:pPr>
            <w:r w:rsidRPr="00B23210">
              <w:rPr>
                <w:rFonts w:ascii="Arial" w:hAnsi="Arial" w:cs="Arial"/>
              </w:rPr>
              <w:t>in % vom Umsatz</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09335A8C" w14:textId="0F46A202" w:rsidR="0018402B" w:rsidRPr="00B23210" w:rsidRDefault="0018402B" w:rsidP="0018402B">
            <w:pPr>
              <w:pStyle w:val="TBodynormalNumber"/>
              <w:rPr>
                <w:rFonts w:ascii="Arial" w:hAnsi="Arial" w:cs="Arial"/>
              </w:rPr>
            </w:pPr>
            <w:r w:rsidRPr="00B23210">
              <w:rPr>
                <w:rFonts w:ascii="Arial" w:hAnsi="Arial" w:cs="Arial"/>
              </w:rPr>
              <w:t>10,4</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12256EF3" w14:textId="56257CBE" w:rsidR="0018402B" w:rsidRPr="00B23210" w:rsidRDefault="0018402B" w:rsidP="0018402B">
            <w:pPr>
              <w:pStyle w:val="TBodynormalNumber"/>
              <w:rPr>
                <w:rFonts w:ascii="Arial" w:hAnsi="Arial" w:cs="Arial"/>
              </w:rPr>
            </w:pPr>
            <w:r w:rsidRPr="00B23210">
              <w:rPr>
                <w:rFonts w:ascii="Arial" w:hAnsi="Arial" w:cs="Arial"/>
              </w:rPr>
              <w:t>9,1</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411E1BB2" w14:textId="52057DB6" w:rsidR="0018402B" w:rsidRPr="00B23210" w:rsidRDefault="0018402B" w:rsidP="0018402B">
            <w:pPr>
              <w:pStyle w:val="TBodynormalNumber"/>
              <w:rPr>
                <w:rFonts w:ascii="Arial" w:hAnsi="Arial" w:cs="Arial"/>
              </w:rPr>
            </w:pPr>
            <w:r w:rsidRPr="00B23210">
              <w:rPr>
                <w:rFonts w:ascii="Arial" w:hAnsi="Arial" w:cs="Arial"/>
                <w:color w:val="000000"/>
                <w:szCs w:val="13"/>
              </w:rPr>
              <w:t> </w:t>
            </w:r>
          </w:p>
        </w:tc>
      </w:tr>
      <w:tr w:rsidR="0018402B" w:rsidRPr="00B23210" w14:paraId="7DAC5676" w14:textId="77777777"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562E64D1" w14:textId="77F2EC84" w:rsidR="0018402B" w:rsidRPr="00B23210" w:rsidRDefault="0018402B" w:rsidP="0018402B">
            <w:pPr>
              <w:pStyle w:val="TBodynormalText"/>
              <w:rPr>
                <w:rFonts w:ascii="Arial" w:hAnsi="Arial" w:cs="Arial"/>
              </w:rPr>
            </w:pPr>
            <w:r w:rsidRPr="00B23210">
              <w:rPr>
                <w:rFonts w:ascii="Arial" w:hAnsi="Arial" w:cs="Arial"/>
              </w:rPr>
              <w:t>Investitionen</w:t>
            </w:r>
            <w:r w:rsidRPr="00B23210">
              <w:rPr>
                <w:rFonts w:ascii="Arial" w:hAnsi="Arial" w:cs="Arial"/>
                <w:vertAlign w:val="superscript"/>
              </w:rPr>
              <w:t>1</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4CDE9BDD" w14:textId="3D6878EB" w:rsidR="0018402B" w:rsidRPr="00B23210" w:rsidRDefault="0018402B" w:rsidP="0018402B">
            <w:pPr>
              <w:pStyle w:val="TBodynormalNumber"/>
              <w:rPr>
                <w:rFonts w:ascii="Arial" w:hAnsi="Arial" w:cs="Arial"/>
              </w:rPr>
            </w:pPr>
            <w:r w:rsidRPr="00B23210">
              <w:rPr>
                <w:rFonts w:ascii="Arial" w:hAnsi="Arial" w:cs="Arial"/>
              </w:rPr>
              <w:t>104,2</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130E4361" w14:textId="6BF397AD" w:rsidR="0018402B" w:rsidRPr="00B23210" w:rsidRDefault="0018402B" w:rsidP="0018402B">
            <w:pPr>
              <w:pStyle w:val="TBodynormalNumber"/>
              <w:rPr>
                <w:rFonts w:ascii="Arial" w:hAnsi="Arial" w:cs="Arial"/>
              </w:rPr>
            </w:pPr>
            <w:r w:rsidRPr="00B23210">
              <w:rPr>
                <w:rFonts w:ascii="Arial" w:hAnsi="Arial" w:cs="Arial"/>
              </w:rPr>
              <w:t>131,3</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253BAEC4" w14:textId="24C10192" w:rsidR="0018402B" w:rsidRPr="00B23210" w:rsidRDefault="0018402B" w:rsidP="0018402B">
            <w:pPr>
              <w:pStyle w:val="TBodynormalNumber"/>
              <w:rPr>
                <w:rFonts w:ascii="Arial" w:hAnsi="Arial" w:cs="Arial"/>
              </w:rPr>
            </w:pPr>
            <w:r w:rsidRPr="00B23210">
              <w:rPr>
                <w:rFonts w:ascii="Arial" w:hAnsi="Arial" w:cs="Arial"/>
                <w:color w:val="000000"/>
                <w:szCs w:val="13"/>
              </w:rPr>
              <w:t>-20,6</w:t>
            </w:r>
          </w:p>
        </w:tc>
      </w:tr>
      <w:tr w:rsidR="0018402B" w:rsidRPr="00B23210" w14:paraId="5F97BD48" w14:textId="77777777"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577DF516" w14:textId="49E26A48" w:rsidR="0018402B" w:rsidRPr="00B23210" w:rsidRDefault="0018402B" w:rsidP="0018402B">
            <w:pPr>
              <w:pStyle w:val="TBodynormalText"/>
              <w:rPr>
                <w:rFonts w:ascii="Arial" w:hAnsi="Arial" w:cs="Arial"/>
              </w:rPr>
            </w:pPr>
            <w:r w:rsidRPr="00B23210">
              <w:rPr>
                <w:rFonts w:ascii="Arial" w:hAnsi="Arial" w:cs="Arial"/>
              </w:rPr>
              <w:t>in % vom Umsatz</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16302F87" w14:textId="37B765A7" w:rsidR="0018402B" w:rsidRPr="00B23210" w:rsidRDefault="0018402B" w:rsidP="0018402B">
            <w:pPr>
              <w:pStyle w:val="TBodynormalNumber"/>
              <w:rPr>
                <w:rFonts w:ascii="Arial" w:hAnsi="Arial" w:cs="Arial"/>
              </w:rPr>
            </w:pPr>
            <w:r w:rsidRPr="00B23210">
              <w:rPr>
                <w:rFonts w:ascii="Arial" w:hAnsi="Arial" w:cs="Arial"/>
              </w:rPr>
              <w:t>5,7</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519BFC0C" w14:textId="14BDD067" w:rsidR="0018402B" w:rsidRPr="00B23210" w:rsidRDefault="0018402B" w:rsidP="0018402B">
            <w:pPr>
              <w:pStyle w:val="TBodynormalNumber"/>
              <w:rPr>
                <w:rFonts w:ascii="Arial" w:hAnsi="Arial" w:cs="Arial"/>
              </w:rPr>
            </w:pPr>
            <w:r w:rsidRPr="00B23210">
              <w:rPr>
                <w:rFonts w:ascii="Arial" w:hAnsi="Arial" w:cs="Arial"/>
              </w:rPr>
              <w:t>6,5</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6821466D" w14:textId="25A8FD26" w:rsidR="0018402B" w:rsidRPr="00B23210" w:rsidRDefault="0018402B" w:rsidP="0018402B">
            <w:pPr>
              <w:pStyle w:val="TBodynormalNumber"/>
              <w:rPr>
                <w:rFonts w:ascii="Arial" w:hAnsi="Arial" w:cs="Arial"/>
              </w:rPr>
            </w:pPr>
            <w:r w:rsidRPr="00B23210">
              <w:rPr>
                <w:rFonts w:ascii="Arial" w:hAnsi="Arial" w:cs="Arial"/>
                <w:color w:val="000000"/>
                <w:szCs w:val="13"/>
              </w:rPr>
              <w:t> </w:t>
            </w:r>
          </w:p>
        </w:tc>
      </w:tr>
      <w:tr w:rsidR="0018402B" w:rsidRPr="00B23210" w14:paraId="583C08EE" w14:textId="77777777"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5B454C65" w14:textId="50F0CCF8" w:rsidR="0018402B" w:rsidRPr="00B23210" w:rsidRDefault="0018402B" w:rsidP="0018402B">
            <w:pPr>
              <w:pStyle w:val="TBodynormalText"/>
              <w:rPr>
                <w:rFonts w:ascii="Arial" w:hAnsi="Arial" w:cs="Arial"/>
              </w:rPr>
            </w:pP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0C90A559" w14:textId="40F41FDC" w:rsidR="0018402B" w:rsidRPr="00B23210" w:rsidRDefault="0018402B" w:rsidP="0018402B">
            <w:pPr>
              <w:pStyle w:val="TBodynormalNumber"/>
              <w:rPr>
                <w:rFonts w:ascii="Arial" w:hAnsi="Arial" w:cs="Arial"/>
              </w:rPr>
            </w:pP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2423F4F7" w14:textId="7077059F" w:rsidR="0018402B" w:rsidRPr="00B23210" w:rsidRDefault="0018402B" w:rsidP="0018402B">
            <w:pPr>
              <w:pStyle w:val="TBodynormalNumber"/>
              <w:rPr>
                <w:rFonts w:ascii="Arial" w:hAnsi="Arial" w:cs="Arial"/>
              </w:rPr>
            </w:pP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127972F6" w14:textId="5F046BBA" w:rsidR="0018402B" w:rsidRPr="00B23210" w:rsidRDefault="0018402B" w:rsidP="0018402B">
            <w:pPr>
              <w:pStyle w:val="TBodynormalNumber"/>
              <w:rPr>
                <w:rFonts w:ascii="Arial" w:hAnsi="Arial" w:cs="Arial"/>
              </w:rPr>
            </w:pPr>
            <w:r w:rsidRPr="00B23210">
              <w:rPr>
                <w:rFonts w:ascii="Arial" w:hAnsi="Arial" w:cs="Arial"/>
                <w:color w:val="000000"/>
                <w:szCs w:val="13"/>
              </w:rPr>
              <w:t> </w:t>
            </w:r>
          </w:p>
        </w:tc>
      </w:tr>
      <w:tr w:rsidR="0018402B" w:rsidRPr="00B23210" w14:paraId="1B02F163" w14:textId="77777777"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122F69D5" w14:textId="211FA8A3" w:rsidR="0018402B" w:rsidRPr="00B23210" w:rsidRDefault="0018402B" w:rsidP="0018402B">
            <w:pPr>
              <w:pStyle w:val="TBodynormalText"/>
              <w:rPr>
                <w:rFonts w:ascii="Arial" w:hAnsi="Arial" w:cs="Arial"/>
              </w:rPr>
            </w:pPr>
            <w:r w:rsidRPr="00B23210">
              <w:rPr>
                <w:rFonts w:ascii="Arial" w:hAnsi="Arial" w:cs="Arial"/>
              </w:rPr>
              <w:t>Anzahl Mitarbeiter (zum 31.03.)</w:t>
            </w:r>
            <w:r w:rsidRPr="00B23210">
              <w:rPr>
                <w:rFonts w:ascii="Arial" w:hAnsi="Arial" w:cs="Arial"/>
                <w:vertAlign w:val="superscript"/>
              </w:rPr>
              <w:t>2</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3FFBBBEA" w14:textId="56954310" w:rsidR="0018402B" w:rsidRPr="00B23210" w:rsidRDefault="0018402B" w:rsidP="0018402B">
            <w:pPr>
              <w:pStyle w:val="TBodynormalNumber"/>
              <w:rPr>
                <w:rFonts w:ascii="Arial" w:hAnsi="Arial" w:cs="Arial"/>
              </w:rPr>
            </w:pPr>
            <w:r w:rsidRPr="00B23210">
              <w:rPr>
                <w:rFonts w:ascii="Arial" w:hAnsi="Arial" w:cs="Arial"/>
              </w:rPr>
              <w:t>39.844</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3764C7F1" w14:textId="373AB273" w:rsidR="0018402B" w:rsidRPr="00B23210" w:rsidRDefault="0018402B" w:rsidP="0018402B">
            <w:pPr>
              <w:pStyle w:val="TBodynormalNumber"/>
              <w:rPr>
                <w:rFonts w:ascii="Arial" w:hAnsi="Arial" w:cs="Arial"/>
              </w:rPr>
            </w:pPr>
            <w:r w:rsidRPr="00B23210">
              <w:rPr>
                <w:rFonts w:ascii="Arial" w:hAnsi="Arial" w:cs="Arial"/>
              </w:rPr>
              <w:t>43.331</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30572A6A" w14:textId="1B660C6B" w:rsidR="0018402B" w:rsidRPr="00B23210" w:rsidRDefault="0018402B" w:rsidP="0018402B">
            <w:pPr>
              <w:pStyle w:val="TBodynormalNumber"/>
              <w:rPr>
                <w:rFonts w:ascii="Arial" w:hAnsi="Arial" w:cs="Arial"/>
              </w:rPr>
            </w:pPr>
            <w:r w:rsidRPr="00B23210">
              <w:rPr>
                <w:rFonts w:ascii="Arial" w:hAnsi="Arial" w:cs="Arial"/>
                <w:color w:val="000000"/>
                <w:szCs w:val="13"/>
              </w:rPr>
              <w:t>-8,0</w:t>
            </w:r>
          </w:p>
        </w:tc>
      </w:tr>
      <w:tr w:rsidR="0018402B" w:rsidRPr="00B23210" w14:paraId="1E4D9296" w14:textId="77777777"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5AF32460" w14:textId="7741E016" w:rsidR="0018402B" w:rsidRPr="00B23210" w:rsidRDefault="0018402B" w:rsidP="0018402B">
            <w:pPr>
              <w:pStyle w:val="TBodynormalText"/>
              <w:rPr>
                <w:rFonts w:ascii="Arial" w:hAnsi="Arial" w:cs="Arial"/>
              </w:rPr>
            </w:pPr>
            <w:r w:rsidRPr="00B23210">
              <w:rPr>
                <w:rFonts w:ascii="Arial" w:hAnsi="Arial" w:cs="Arial"/>
              </w:rPr>
              <w:t> </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3CC766AB" w14:textId="3DF3E7D8" w:rsidR="0018402B" w:rsidRPr="00B23210" w:rsidRDefault="0018402B" w:rsidP="0018402B">
            <w:pPr>
              <w:pStyle w:val="TBodynormalNumber"/>
              <w:rPr>
                <w:rFonts w:ascii="Arial" w:hAnsi="Arial" w:cs="Arial"/>
              </w:rPr>
            </w:pPr>
            <w:r w:rsidRPr="00B23210">
              <w:rPr>
                <w:rFonts w:ascii="Arial" w:hAnsi="Arial" w:cs="Arial"/>
              </w:rPr>
              <w:t> </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48BA8842" w14:textId="420666AC" w:rsidR="0018402B" w:rsidRPr="00B23210" w:rsidRDefault="0018402B" w:rsidP="0018402B">
            <w:pPr>
              <w:pStyle w:val="TBodynormalNumber"/>
              <w:rPr>
                <w:rFonts w:ascii="Arial" w:hAnsi="Arial" w:cs="Arial"/>
              </w:rPr>
            </w:pPr>
            <w:r w:rsidRPr="00B23210">
              <w:rPr>
                <w:rFonts w:ascii="Arial" w:hAnsi="Arial" w:cs="Arial"/>
              </w:rPr>
              <w:t> </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370A3986" w14:textId="37D1BA70" w:rsidR="0018402B" w:rsidRPr="00B23210" w:rsidRDefault="0018402B" w:rsidP="0018402B">
            <w:pPr>
              <w:pStyle w:val="TBodynormalNumber"/>
              <w:rPr>
                <w:rFonts w:ascii="Arial" w:hAnsi="Arial" w:cs="Arial"/>
              </w:rPr>
            </w:pPr>
            <w:r w:rsidRPr="00B23210">
              <w:rPr>
                <w:rFonts w:ascii="Arial" w:hAnsi="Arial" w:cs="Arial"/>
                <w:color w:val="000000"/>
                <w:szCs w:val="13"/>
              </w:rPr>
              <w:t> </w:t>
            </w:r>
          </w:p>
        </w:tc>
      </w:tr>
      <w:tr w:rsidR="0018402B" w:rsidRPr="00B23210" w14:paraId="6E70F247" w14:textId="77777777" w:rsidTr="00BB29F3">
        <w:trPr>
          <w:trHeight w:val="261"/>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20FD5438" w14:textId="5B2A7ADF" w:rsidR="0018402B" w:rsidRPr="00B23210" w:rsidRDefault="0018402B" w:rsidP="0018402B">
            <w:pPr>
              <w:pStyle w:val="TBodynormalText"/>
              <w:rPr>
                <w:rFonts w:ascii="Arial" w:hAnsi="Arial" w:cs="Arial"/>
              </w:rPr>
            </w:pPr>
            <w:r w:rsidRPr="00B23210">
              <w:rPr>
                <w:rFonts w:ascii="Arial" w:hAnsi="Arial" w:cs="Arial"/>
              </w:rPr>
              <w:t>Umsatz bereinigt</w:t>
            </w:r>
            <w:r w:rsidRPr="00B23210">
              <w:rPr>
                <w:rFonts w:ascii="Arial" w:hAnsi="Arial" w:cs="Arial"/>
                <w:vertAlign w:val="superscript"/>
              </w:rPr>
              <w:t>3</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3194A603" w14:textId="50129445" w:rsidR="0018402B" w:rsidRPr="00B23210" w:rsidRDefault="0018402B" w:rsidP="0018402B">
            <w:pPr>
              <w:pStyle w:val="TBodynormalNumber"/>
              <w:rPr>
                <w:rFonts w:ascii="Arial" w:hAnsi="Arial" w:cs="Arial"/>
              </w:rPr>
            </w:pPr>
            <w:r w:rsidRPr="00B23210">
              <w:rPr>
                <w:rFonts w:ascii="Arial" w:hAnsi="Arial" w:cs="Arial"/>
              </w:rPr>
              <w:t>1.829,0</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2EB18760" w14:textId="68847832" w:rsidR="0018402B" w:rsidRPr="00B23210" w:rsidRDefault="0018402B" w:rsidP="0018402B">
            <w:pPr>
              <w:pStyle w:val="TBodynormalNumber"/>
              <w:rPr>
                <w:rFonts w:ascii="Arial" w:hAnsi="Arial" w:cs="Arial"/>
              </w:rPr>
            </w:pPr>
            <w:r w:rsidRPr="00B23210">
              <w:rPr>
                <w:rFonts w:ascii="Arial" w:hAnsi="Arial" w:cs="Arial"/>
              </w:rPr>
              <w:t>2.005,6</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6BA32FE2" w14:textId="34F71833" w:rsidR="0018402B" w:rsidRPr="00B23210" w:rsidRDefault="0018402B" w:rsidP="0018402B">
            <w:pPr>
              <w:pStyle w:val="TBodynormalNumber"/>
              <w:rPr>
                <w:rFonts w:ascii="Arial" w:hAnsi="Arial" w:cs="Arial"/>
              </w:rPr>
            </w:pPr>
            <w:r w:rsidRPr="00B23210">
              <w:rPr>
                <w:rFonts w:ascii="Arial" w:hAnsi="Arial" w:cs="Arial"/>
                <w:color w:val="000000"/>
                <w:szCs w:val="13"/>
              </w:rPr>
              <w:t>-8,8</w:t>
            </w:r>
          </w:p>
        </w:tc>
      </w:tr>
      <w:tr w:rsidR="0018402B" w:rsidRPr="00B23210" w14:paraId="7CE8C23D" w14:textId="77777777" w:rsidTr="00BB29F3">
        <w:trPr>
          <w:trHeight w:val="232"/>
        </w:trPr>
        <w:tc>
          <w:tcPr>
            <w:tcW w:w="5567" w:type="dxa"/>
            <w:tcBorders>
              <w:top w:val="single" w:sz="4" w:space="0" w:color="727373"/>
              <w:left w:val="none" w:sz="0" w:space="0" w:color="000000"/>
              <w:bottom w:val="single" w:sz="4" w:space="0" w:color="727373"/>
              <w:right w:val="none" w:sz="0" w:space="0" w:color="000000"/>
            </w:tcBorders>
            <w:shd w:val="clear" w:color="auto" w:fill="FFFFFF"/>
            <w:vAlign w:val="bottom"/>
          </w:tcPr>
          <w:p w14:paraId="7E0B6D53" w14:textId="7215954D" w:rsidR="0018402B" w:rsidRPr="00B23210" w:rsidRDefault="0018402B" w:rsidP="0018402B">
            <w:pPr>
              <w:pStyle w:val="TBodynormalText"/>
              <w:rPr>
                <w:rFonts w:ascii="Arial" w:hAnsi="Arial" w:cs="Arial"/>
              </w:rPr>
            </w:pPr>
            <w:r w:rsidRPr="00B23210">
              <w:rPr>
                <w:rFonts w:ascii="Arial" w:hAnsi="Arial" w:cs="Arial"/>
              </w:rPr>
              <w:t>Bereinigtes operatives Ergebnis (EBIT bereinigt)</w:t>
            </w:r>
            <w:r w:rsidRPr="00B23210">
              <w:rPr>
                <w:rFonts w:ascii="Arial" w:hAnsi="Arial" w:cs="Arial"/>
                <w:vertAlign w:val="superscript"/>
              </w:rPr>
              <w:t>4</w:t>
            </w:r>
          </w:p>
        </w:tc>
        <w:tc>
          <w:tcPr>
            <w:tcW w:w="1369" w:type="dxa"/>
            <w:tcBorders>
              <w:top w:val="single" w:sz="4" w:space="0" w:color="727373"/>
              <w:left w:val="none" w:sz="0" w:space="0" w:color="000000"/>
              <w:bottom w:val="single" w:sz="4" w:space="0" w:color="727373"/>
              <w:right w:val="none" w:sz="0" w:space="0" w:color="000000"/>
            </w:tcBorders>
            <w:shd w:val="clear" w:color="auto" w:fill="F0F0F1"/>
            <w:vAlign w:val="bottom"/>
          </w:tcPr>
          <w:p w14:paraId="176DF9C6" w14:textId="41563296" w:rsidR="0018402B" w:rsidRPr="00B23210" w:rsidRDefault="0018402B" w:rsidP="0018402B">
            <w:pPr>
              <w:pStyle w:val="TBodynormalNumber"/>
              <w:rPr>
                <w:rFonts w:ascii="Arial" w:hAnsi="Arial" w:cs="Arial"/>
              </w:rPr>
            </w:pPr>
            <w:r w:rsidRPr="00B23210">
              <w:rPr>
                <w:rFonts w:ascii="Arial" w:hAnsi="Arial" w:cs="Arial"/>
              </w:rPr>
              <w:t>11,9</w:t>
            </w:r>
          </w:p>
        </w:tc>
        <w:tc>
          <w:tcPr>
            <w:tcW w:w="1369" w:type="dxa"/>
            <w:tcBorders>
              <w:top w:val="single" w:sz="4" w:space="0" w:color="727373"/>
              <w:left w:val="none" w:sz="0" w:space="0" w:color="000000"/>
              <w:bottom w:val="single" w:sz="4" w:space="0" w:color="727373"/>
              <w:right w:val="none" w:sz="0" w:space="0" w:color="000000"/>
            </w:tcBorders>
            <w:shd w:val="clear" w:color="auto" w:fill="FFFFFF"/>
            <w:vAlign w:val="bottom"/>
          </w:tcPr>
          <w:p w14:paraId="7113D4B4" w14:textId="704993B7" w:rsidR="0018402B" w:rsidRPr="00B23210" w:rsidRDefault="0018402B" w:rsidP="0018402B">
            <w:pPr>
              <w:pStyle w:val="TBodynormalNumber"/>
              <w:rPr>
                <w:rFonts w:ascii="Arial" w:hAnsi="Arial" w:cs="Arial"/>
              </w:rPr>
            </w:pPr>
            <w:r w:rsidRPr="00B23210">
              <w:rPr>
                <w:rFonts w:ascii="Arial" w:hAnsi="Arial" w:cs="Arial"/>
              </w:rPr>
              <w:t>78,9</w:t>
            </w:r>
          </w:p>
        </w:tc>
        <w:tc>
          <w:tcPr>
            <w:tcW w:w="1369" w:type="dxa"/>
            <w:tcBorders>
              <w:top w:val="single" w:sz="4" w:space="0" w:color="727373"/>
              <w:left w:val="none" w:sz="0" w:space="0" w:color="000000"/>
              <w:bottom w:val="single" w:sz="4" w:space="0" w:color="727373"/>
              <w:right w:val="none" w:sz="0" w:space="0" w:color="000000"/>
            </w:tcBorders>
            <w:shd w:val="clear" w:color="auto" w:fill="auto"/>
            <w:vAlign w:val="center"/>
          </w:tcPr>
          <w:p w14:paraId="20D3EAF0" w14:textId="06682044" w:rsidR="0018402B" w:rsidRPr="00B23210" w:rsidRDefault="0018402B" w:rsidP="0018402B">
            <w:pPr>
              <w:pStyle w:val="TBodynormalNumber"/>
              <w:rPr>
                <w:rFonts w:ascii="Arial" w:hAnsi="Arial" w:cs="Arial"/>
              </w:rPr>
            </w:pPr>
            <w:r w:rsidRPr="00B23210">
              <w:rPr>
                <w:rFonts w:ascii="Arial" w:hAnsi="Arial" w:cs="Arial"/>
                <w:color w:val="000000"/>
                <w:szCs w:val="13"/>
              </w:rPr>
              <w:t>-84,9</w:t>
            </w:r>
          </w:p>
        </w:tc>
      </w:tr>
      <w:tr w:rsidR="0018402B" w:rsidRPr="00B23210" w14:paraId="5EC08BD9" w14:textId="77777777" w:rsidTr="00BB29F3">
        <w:trPr>
          <w:trHeight w:val="261"/>
        </w:trPr>
        <w:tc>
          <w:tcPr>
            <w:tcW w:w="5567" w:type="dxa"/>
            <w:tcBorders>
              <w:top w:val="single" w:sz="4" w:space="0" w:color="727373"/>
              <w:left w:val="none" w:sz="0" w:space="0" w:color="000000"/>
              <w:bottom w:val="single" w:sz="6" w:space="0" w:color="000000"/>
              <w:right w:val="none" w:sz="0" w:space="0" w:color="000000"/>
            </w:tcBorders>
            <w:shd w:val="clear" w:color="auto" w:fill="FFFFFF"/>
            <w:vAlign w:val="bottom"/>
          </w:tcPr>
          <w:p w14:paraId="0870A230" w14:textId="3453E52A" w:rsidR="0018402B" w:rsidRPr="00B23210" w:rsidRDefault="0018402B" w:rsidP="0018402B">
            <w:pPr>
              <w:pStyle w:val="TBodynormalText"/>
              <w:rPr>
                <w:rFonts w:ascii="Arial" w:hAnsi="Arial" w:cs="Arial"/>
              </w:rPr>
            </w:pPr>
            <w:r w:rsidRPr="00B23210">
              <w:rPr>
                <w:rFonts w:ascii="Arial" w:hAnsi="Arial" w:cs="Arial"/>
              </w:rPr>
              <w:t>in % des bereinigten Umsatzes</w:t>
            </w:r>
          </w:p>
        </w:tc>
        <w:tc>
          <w:tcPr>
            <w:tcW w:w="1369" w:type="dxa"/>
            <w:tcBorders>
              <w:top w:val="single" w:sz="4" w:space="0" w:color="727373"/>
              <w:left w:val="none" w:sz="0" w:space="0" w:color="000000"/>
              <w:bottom w:val="single" w:sz="6" w:space="0" w:color="000000"/>
              <w:right w:val="none" w:sz="0" w:space="0" w:color="000000"/>
            </w:tcBorders>
            <w:shd w:val="clear" w:color="auto" w:fill="F0F0F1"/>
            <w:vAlign w:val="bottom"/>
          </w:tcPr>
          <w:p w14:paraId="640AC102" w14:textId="29EB8953" w:rsidR="0018402B" w:rsidRPr="00B23210" w:rsidRDefault="0018402B" w:rsidP="0018402B">
            <w:pPr>
              <w:pStyle w:val="TBodynormalNumber"/>
              <w:rPr>
                <w:rFonts w:ascii="Arial" w:hAnsi="Arial" w:cs="Arial"/>
              </w:rPr>
            </w:pPr>
            <w:r w:rsidRPr="00B23210">
              <w:rPr>
                <w:rFonts w:ascii="Arial" w:hAnsi="Arial" w:cs="Arial"/>
              </w:rPr>
              <w:t>0,7</w:t>
            </w:r>
          </w:p>
        </w:tc>
        <w:tc>
          <w:tcPr>
            <w:tcW w:w="1369" w:type="dxa"/>
            <w:tcBorders>
              <w:top w:val="single" w:sz="4" w:space="0" w:color="727373"/>
              <w:left w:val="none" w:sz="0" w:space="0" w:color="000000"/>
              <w:bottom w:val="single" w:sz="6" w:space="0" w:color="000000"/>
              <w:right w:val="none" w:sz="0" w:space="0" w:color="000000"/>
            </w:tcBorders>
            <w:shd w:val="clear" w:color="auto" w:fill="FFFFFF"/>
            <w:vAlign w:val="bottom"/>
          </w:tcPr>
          <w:p w14:paraId="0B9B6510" w14:textId="36499A9B" w:rsidR="0018402B" w:rsidRPr="00B23210" w:rsidRDefault="0018402B" w:rsidP="0018402B">
            <w:pPr>
              <w:pStyle w:val="TBodynormalNumber"/>
              <w:rPr>
                <w:rFonts w:ascii="Arial" w:hAnsi="Arial" w:cs="Arial"/>
              </w:rPr>
            </w:pPr>
            <w:r w:rsidRPr="00B23210">
              <w:rPr>
                <w:rFonts w:ascii="Arial" w:hAnsi="Arial" w:cs="Arial"/>
              </w:rPr>
              <w:t>3,9</w:t>
            </w:r>
          </w:p>
        </w:tc>
        <w:tc>
          <w:tcPr>
            <w:tcW w:w="1369" w:type="dxa"/>
            <w:tcBorders>
              <w:top w:val="single" w:sz="4" w:space="0" w:color="727373"/>
              <w:left w:val="none" w:sz="0" w:space="0" w:color="000000"/>
              <w:bottom w:val="single" w:sz="6" w:space="0" w:color="000000"/>
              <w:right w:val="none" w:sz="0" w:space="0" w:color="000000"/>
            </w:tcBorders>
            <w:shd w:val="clear" w:color="auto" w:fill="auto"/>
            <w:vAlign w:val="center"/>
          </w:tcPr>
          <w:p w14:paraId="6380C98A" w14:textId="1FC203E5" w:rsidR="0018402B" w:rsidRPr="00B23210" w:rsidRDefault="0018402B" w:rsidP="0018402B">
            <w:pPr>
              <w:pStyle w:val="TBodynormalNumber"/>
              <w:rPr>
                <w:rFonts w:ascii="Arial" w:hAnsi="Arial" w:cs="Arial"/>
              </w:rPr>
            </w:pPr>
            <w:r w:rsidRPr="00B23210">
              <w:rPr>
                <w:rFonts w:ascii="Arial" w:hAnsi="Arial" w:cs="Arial"/>
                <w:color w:val="000000"/>
                <w:szCs w:val="13"/>
              </w:rPr>
              <w:t> </w:t>
            </w:r>
          </w:p>
        </w:tc>
      </w:tr>
      <w:tr w:rsidR="009B3C07" w:rsidRPr="00B23210" w14:paraId="496847CC" w14:textId="77777777" w:rsidTr="00725F48">
        <w:trPr>
          <w:trHeight w:val="139"/>
        </w:trPr>
        <w:tc>
          <w:tcPr>
            <w:tcW w:w="5567" w:type="dxa"/>
            <w:tcBorders>
              <w:top w:val="single" w:sz="6" w:space="0" w:color="000000"/>
              <w:left w:val="none" w:sz="0" w:space="0" w:color="000000"/>
              <w:bottom w:val="none" w:sz="0" w:space="0" w:color="000000"/>
              <w:right w:val="none" w:sz="0" w:space="0" w:color="000000"/>
            </w:tcBorders>
            <w:shd w:val="clear" w:color="auto" w:fill="FFFFFF"/>
            <w:vAlign w:val="bottom"/>
          </w:tcPr>
          <w:p w14:paraId="1BC1E012" w14:textId="77777777" w:rsidR="009B3C07" w:rsidRPr="00B23210" w:rsidRDefault="009B3C07" w:rsidP="009B3C07">
            <w:pPr>
              <w:pStyle w:val="TDummyRow"/>
              <w:jc w:val="left"/>
              <w:rPr>
                <w:rFonts w:ascii="Arial" w:hAnsi="Arial" w:cs="Arial"/>
              </w:rPr>
            </w:pPr>
          </w:p>
        </w:tc>
        <w:tc>
          <w:tcPr>
            <w:tcW w:w="1369" w:type="dxa"/>
            <w:tcBorders>
              <w:top w:val="single" w:sz="6" w:space="0" w:color="000000"/>
              <w:left w:val="none" w:sz="0" w:space="0" w:color="000000"/>
              <w:bottom w:val="none" w:sz="0" w:space="0" w:color="000000"/>
              <w:right w:val="none" w:sz="0" w:space="0" w:color="000000"/>
            </w:tcBorders>
            <w:shd w:val="clear" w:color="auto" w:fill="FFFFFF"/>
            <w:vAlign w:val="bottom"/>
          </w:tcPr>
          <w:p w14:paraId="77BDDD04" w14:textId="77777777" w:rsidR="009B3C07" w:rsidRPr="00B23210" w:rsidRDefault="009B3C07" w:rsidP="009B3C07">
            <w:pPr>
              <w:pStyle w:val="TDummyRow"/>
              <w:jc w:val="left"/>
              <w:rPr>
                <w:rFonts w:ascii="Arial" w:hAnsi="Arial" w:cs="Arial"/>
              </w:rPr>
            </w:pPr>
          </w:p>
        </w:tc>
        <w:tc>
          <w:tcPr>
            <w:tcW w:w="1369" w:type="dxa"/>
            <w:tcBorders>
              <w:top w:val="single" w:sz="6" w:space="0" w:color="000000"/>
              <w:left w:val="none" w:sz="0" w:space="0" w:color="000000"/>
              <w:bottom w:val="none" w:sz="0" w:space="0" w:color="000000"/>
              <w:right w:val="none" w:sz="0" w:space="0" w:color="000000"/>
            </w:tcBorders>
            <w:shd w:val="clear" w:color="auto" w:fill="FFFFFF"/>
            <w:vAlign w:val="bottom"/>
          </w:tcPr>
          <w:p w14:paraId="49D4D16C" w14:textId="77777777" w:rsidR="009B3C07" w:rsidRPr="00B23210" w:rsidRDefault="009B3C07" w:rsidP="009B3C07">
            <w:pPr>
              <w:pStyle w:val="TDummyRow"/>
              <w:jc w:val="left"/>
              <w:rPr>
                <w:rFonts w:ascii="Arial" w:hAnsi="Arial" w:cs="Arial"/>
              </w:rPr>
            </w:pPr>
          </w:p>
        </w:tc>
        <w:tc>
          <w:tcPr>
            <w:tcW w:w="1369" w:type="dxa"/>
            <w:tcBorders>
              <w:top w:val="single" w:sz="6" w:space="0" w:color="000000"/>
              <w:left w:val="none" w:sz="0" w:space="0" w:color="000000"/>
              <w:bottom w:val="none" w:sz="0" w:space="0" w:color="000000"/>
              <w:right w:val="none" w:sz="0" w:space="0" w:color="000000"/>
            </w:tcBorders>
            <w:shd w:val="clear" w:color="auto" w:fill="FFFFFF"/>
          </w:tcPr>
          <w:p w14:paraId="0472F687" w14:textId="77777777" w:rsidR="009B3C07" w:rsidRPr="00B23210" w:rsidRDefault="009B3C07" w:rsidP="009B3C07">
            <w:pPr>
              <w:pStyle w:val="TDummyRow"/>
              <w:jc w:val="left"/>
              <w:rPr>
                <w:rFonts w:ascii="Arial" w:hAnsi="Arial" w:cs="Arial"/>
              </w:rPr>
            </w:pPr>
          </w:p>
        </w:tc>
      </w:tr>
    </w:tbl>
    <w:p w14:paraId="40974423" w14:textId="77777777" w:rsidR="009B3C07" w:rsidRPr="00B23210" w:rsidRDefault="009B3C07" w:rsidP="009B3C07">
      <w:pPr>
        <w:pStyle w:val="TNote"/>
        <w:rPr>
          <w:rFonts w:ascii="Arial" w:hAnsi="Arial" w:cs="Arial"/>
        </w:rPr>
      </w:pPr>
      <w:r w:rsidRPr="00B23210">
        <w:rPr>
          <w:rFonts w:ascii="Arial" w:hAnsi="Arial" w:cs="Arial"/>
        </w:rPr>
        <w:t>1</w:t>
      </w:r>
      <w:r w:rsidRPr="00B23210">
        <w:rPr>
          <w:rFonts w:ascii="Arial" w:hAnsi="Arial" w:cs="Arial"/>
        </w:rPr>
        <w:tab/>
        <w:t>Investitionen in Sachanlagen und Software.</w:t>
      </w:r>
    </w:p>
    <w:p w14:paraId="061DC331" w14:textId="77777777" w:rsidR="009B3C07" w:rsidRPr="00B23210" w:rsidRDefault="009B3C07" w:rsidP="009B3C07">
      <w:pPr>
        <w:pStyle w:val="TNote"/>
        <w:rPr>
          <w:rFonts w:ascii="Arial" w:hAnsi="Arial" w:cs="Arial"/>
        </w:rPr>
      </w:pPr>
      <w:r w:rsidRPr="00B23210">
        <w:rPr>
          <w:rFonts w:ascii="Arial" w:hAnsi="Arial" w:cs="Arial"/>
        </w:rPr>
        <w:t>2</w:t>
      </w:r>
      <w:r w:rsidRPr="00B23210">
        <w:rPr>
          <w:rFonts w:ascii="Arial" w:hAnsi="Arial" w:cs="Arial"/>
        </w:rPr>
        <w:tab/>
        <w:t>Ohne Auszubildende.</w:t>
      </w:r>
    </w:p>
    <w:p w14:paraId="3ED5E56D" w14:textId="77777777" w:rsidR="009B3C07" w:rsidRPr="00B23210" w:rsidRDefault="009B3C07" w:rsidP="009B3C07">
      <w:pPr>
        <w:pStyle w:val="TNote"/>
        <w:rPr>
          <w:rFonts w:ascii="Arial" w:hAnsi="Arial" w:cs="Arial"/>
        </w:rPr>
      </w:pPr>
      <w:r w:rsidRPr="00B23210">
        <w:rPr>
          <w:rFonts w:ascii="Arial" w:hAnsi="Arial" w:cs="Arial"/>
        </w:rPr>
        <w:t>3</w:t>
      </w:r>
      <w:r w:rsidRPr="00B23210">
        <w:rPr>
          <w:rFonts w:ascii="Arial" w:hAnsi="Arial" w:cs="Arial"/>
        </w:rPr>
        <w:tab/>
        <w:t>Bereinigt um Konsolidierungskreisveränderungen.</w:t>
      </w:r>
    </w:p>
    <w:p w14:paraId="2ECF4A09" w14:textId="77777777" w:rsidR="009B3C07" w:rsidRPr="00B23210" w:rsidRDefault="009B3C07" w:rsidP="009B3C07">
      <w:pPr>
        <w:pStyle w:val="TNote"/>
        <w:rPr>
          <w:rFonts w:ascii="Arial" w:hAnsi="Arial" w:cs="Arial"/>
        </w:rPr>
      </w:pPr>
      <w:r w:rsidRPr="00B23210">
        <w:rPr>
          <w:rFonts w:ascii="Arial" w:hAnsi="Arial" w:cs="Arial"/>
        </w:rPr>
        <w:t>4</w:t>
      </w:r>
      <w:r w:rsidRPr="00B23210">
        <w:rPr>
          <w:rFonts w:ascii="Arial" w:hAnsi="Arial" w:cs="Arial"/>
        </w:rPr>
        <w:tab/>
        <w:t xml:space="preserve">Bereinigt um Abschreibungen auf immaterielle Vermögenswerte aus Kaufpreisallokation (PPA), Konsolidierungskreisveränderungen und Sondereffekte. </w:t>
      </w:r>
    </w:p>
    <w:p w14:paraId="2B73BCFD" w14:textId="56554A16" w:rsidR="003A595D" w:rsidRPr="00B23210" w:rsidRDefault="003A595D" w:rsidP="003A595D">
      <w:pPr>
        <w:pStyle w:val="04-Subhead"/>
        <w:rPr>
          <w:szCs w:val="22"/>
        </w:rPr>
      </w:pPr>
      <w:bookmarkStart w:id="9" w:name="_FLink_1T_XTTLHWnEIÖSHbhCOMG_1"/>
      <w:bookmarkEnd w:id="8"/>
      <w:bookmarkEnd w:id="9"/>
      <w:r w:rsidRPr="00B23210">
        <w:rPr>
          <w:szCs w:val="22"/>
        </w:rPr>
        <w:t>Umsatz- und Ergebnisentwicklung der Geschäftsfelder besser als Anfang April erwartet</w:t>
      </w:r>
    </w:p>
    <w:p w14:paraId="64692D25" w14:textId="25A57DC1" w:rsidR="00A949DE" w:rsidRPr="00B23210" w:rsidRDefault="00A949DE" w:rsidP="00A949DE">
      <w:pPr>
        <w:pStyle w:val="03-Text"/>
        <w:rPr>
          <w:szCs w:val="22"/>
        </w:rPr>
      </w:pPr>
      <w:r w:rsidRPr="00B23210">
        <w:rPr>
          <w:szCs w:val="22"/>
        </w:rPr>
        <w:t xml:space="preserve">Der Umsatz des Unternehmensbereichs </w:t>
      </w:r>
      <w:r w:rsidRPr="00B23210">
        <w:rPr>
          <w:b/>
          <w:bCs/>
          <w:szCs w:val="22"/>
        </w:rPr>
        <w:t>Automotive Technologies</w:t>
      </w:r>
      <w:r w:rsidRPr="00B23210">
        <w:rPr>
          <w:szCs w:val="22"/>
        </w:rPr>
        <w:t xml:space="preserve"> lag bei 4,1 Milliarden Euro (</w:t>
      </w:r>
      <w:r w:rsidR="00367F58" w:rsidRPr="00B23210">
        <w:rPr>
          <w:szCs w:val="22"/>
        </w:rPr>
        <w:t>Q1 2019</w:t>
      </w:r>
      <w:r w:rsidRPr="00B23210">
        <w:rPr>
          <w:szCs w:val="22"/>
        </w:rPr>
        <w:t>: 4,7 Milliarden Euro) und die bereinigte EBIT-Marge bei 1,8 Prozent (</w:t>
      </w:r>
      <w:r w:rsidR="00367F58" w:rsidRPr="00B23210">
        <w:rPr>
          <w:szCs w:val="22"/>
        </w:rPr>
        <w:t>Q1 2019</w:t>
      </w:r>
      <w:r w:rsidRPr="00B23210">
        <w:rPr>
          <w:szCs w:val="22"/>
        </w:rPr>
        <w:t>: 6,0</w:t>
      </w:r>
      <w:r w:rsidR="00367F58" w:rsidRPr="00B23210">
        <w:rPr>
          <w:szCs w:val="22"/>
        </w:rPr>
        <w:t> </w:t>
      </w:r>
      <w:r w:rsidRPr="00B23210">
        <w:rPr>
          <w:szCs w:val="22"/>
        </w:rPr>
        <w:t xml:space="preserve">Prozent). Das organische Umsatzwachstum </w:t>
      </w:r>
      <w:r w:rsidR="004B08C8">
        <w:rPr>
          <w:szCs w:val="22"/>
        </w:rPr>
        <w:t>belief sich auf</w:t>
      </w:r>
      <w:r w:rsidRPr="00B23210">
        <w:rPr>
          <w:szCs w:val="22"/>
        </w:rPr>
        <w:t xml:space="preserve"> -11,5 Prozent.</w:t>
      </w:r>
    </w:p>
    <w:p w14:paraId="405D0A9B" w14:textId="1C554820" w:rsidR="00A949DE" w:rsidRPr="00B23210" w:rsidRDefault="00A949DE" w:rsidP="00A949DE">
      <w:pPr>
        <w:pStyle w:val="03-Text"/>
        <w:rPr>
          <w:szCs w:val="22"/>
        </w:rPr>
      </w:pPr>
      <w:r w:rsidRPr="00B23210">
        <w:rPr>
          <w:szCs w:val="22"/>
        </w:rPr>
        <w:lastRenderedPageBreak/>
        <w:t xml:space="preserve">Der Unternehmensbereich </w:t>
      </w:r>
      <w:r w:rsidRPr="00B23210">
        <w:rPr>
          <w:b/>
          <w:bCs/>
          <w:szCs w:val="22"/>
        </w:rPr>
        <w:t>Rubber Technologies</w:t>
      </w:r>
      <w:r w:rsidRPr="00B23210">
        <w:rPr>
          <w:szCs w:val="22"/>
        </w:rPr>
        <w:t xml:space="preserve"> erwirtschaftete einen Umsatz von 4</w:t>
      </w:r>
      <w:r w:rsidR="0067136C" w:rsidRPr="00B23210">
        <w:rPr>
          <w:szCs w:val="22"/>
        </w:rPr>
        <w:t>,0</w:t>
      </w:r>
      <w:r w:rsidRPr="00B23210">
        <w:rPr>
          <w:szCs w:val="22"/>
        </w:rPr>
        <w:t> Milliarden Euro (</w:t>
      </w:r>
      <w:r w:rsidR="00367F58" w:rsidRPr="00B23210">
        <w:rPr>
          <w:szCs w:val="22"/>
        </w:rPr>
        <w:t>Q1 2019</w:t>
      </w:r>
      <w:r w:rsidRPr="00B23210">
        <w:rPr>
          <w:szCs w:val="22"/>
        </w:rPr>
        <w:t>: 4,4 Milliarden Euro) und eine bereinigte EBIT-Marge von 9,8 Prozent (</w:t>
      </w:r>
      <w:r w:rsidR="00367F58" w:rsidRPr="00B23210">
        <w:rPr>
          <w:szCs w:val="22"/>
        </w:rPr>
        <w:t>Q1 2019</w:t>
      </w:r>
      <w:r w:rsidRPr="00B23210">
        <w:rPr>
          <w:szCs w:val="22"/>
        </w:rPr>
        <w:t xml:space="preserve">: 12,2 Prozent). Das organische Umsatzwachstum </w:t>
      </w:r>
      <w:r w:rsidR="004B08C8">
        <w:rPr>
          <w:szCs w:val="22"/>
        </w:rPr>
        <w:t>lag</w:t>
      </w:r>
      <w:r w:rsidRPr="00B23210">
        <w:rPr>
          <w:szCs w:val="22"/>
        </w:rPr>
        <w:t xml:space="preserve"> bei -10,8 Prozent.</w:t>
      </w:r>
    </w:p>
    <w:p w14:paraId="7B006525" w14:textId="40B15D5B" w:rsidR="009D7033" w:rsidRPr="00B23210" w:rsidRDefault="00A949DE" w:rsidP="00BB29F3">
      <w:pPr>
        <w:pStyle w:val="03-Text"/>
      </w:pPr>
      <w:r w:rsidRPr="00B23210">
        <w:rPr>
          <w:szCs w:val="22"/>
        </w:rPr>
        <w:t xml:space="preserve">Im Antriebsbereich von Continental, dem </w:t>
      </w:r>
      <w:r w:rsidR="0067136C" w:rsidRPr="00B23210">
        <w:rPr>
          <w:szCs w:val="22"/>
        </w:rPr>
        <w:t xml:space="preserve">Unternehmensbereich </w:t>
      </w:r>
      <w:r w:rsidRPr="00B23210">
        <w:rPr>
          <w:b/>
          <w:bCs/>
          <w:szCs w:val="22"/>
        </w:rPr>
        <w:t>Powertrain Technologies,</w:t>
      </w:r>
      <w:r w:rsidRPr="00B23210">
        <w:rPr>
          <w:szCs w:val="22"/>
        </w:rPr>
        <w:t xml:space="preserve"> ergab</w:t>
      </w:r>
      <w:r w:rsidR="00A60C05" w:rsidRPr="00B23210">
        <w:rPr>
          <w:szCs w:val="22"/>
        </w:rPr>
        <w:t> </w:t>
      </w:r>
      <w:r w:rsidRPr="00B23210">
        <w:rPr>
          <w:szCs w:val="22"/>
        </w:rPr>
        <w:t>sich ein Umsatz von 1,8 Milliarden Euro (</w:t>
      </w:r>
      <w:r w:rsidR="00367F58" w:rsidRPr="00B23210">
        <w:rPr>
          <w:szCs w:val="22"/>
        </w:rPr>
        <w:t>Q1 2019</w:t>
      </w:r>
      <w:r w:rsidRPr="00B23210">
        <w:rPr>
          <w:szCs w:val="22"/>
        </w:rPr>
        <w:t>: 2</w:t>
      </w:r>
      <w:r w:rsidR="0067136C" w:rsidRPr="00B23210">
        <w:rPr>
          <w:szCs w:val="22"/>
        </w:rPr>
        <w:t>,0</w:t>
      </w:r>
      <w:r w:rsidRPr="00B23210">
        <w:rPr>
          <w:szCs w:val="22"/>
        </w:rPr>
        <w:t xml:space="preserve"> Milliarden Euro) und eine bereinigte</w:t>
      </w:r>
      <w:r w:rsidR="00A60C05" w:rsidRPr="00B23210">
        <w:rPr>
          <w:szCs w:val="22"/>
        </w:rPr>
        <w:t> </w:t>
      </w:r>
      <w:r w:rsidRPr="00B23210">
        <w:rPr>
          <w:szCs w:val="22"/>
        </w:rPr>
        <w:t>EBIT-Marge von 0,7 Prozent (</w:t>
      </w:r>
      <w:r w:rsidR="00367F58" w:rsidRPr="00B23210">
        <w:rPr>
          <w:szCs w:val="22"/>
        </w:rPr>
        <w:t>Q1 2019</w:t>
      </w:r>
      <w:r w:rsidRPr="00B23210">
        <w:rPr>
          <w:szCs w:val="22"/>
        </w:rPr>
        <w:t xml:space="preserve">: 3,9 Prozent). Das organische Umsatzwachstum </w:t>
      </w:r>
      <w:r w:rsidR="004B08C8">
        <w:rPr>
          <w:szCs w:val="22"/>
        </w:rPr>
        <w:t>belief sich auf</w:t>
      </w:r>
      <w:r w:rsidRPr="00B23210">
        <w:rPr>
          <w:szCs w:val="22"/>
        </w:rPr>
        <w:t xml:space="preserve"> -9,1</w:t>
      </w:r>
      <w:r w:rsidR="00367F58" w:rsidRPr="00B23210">
        <w:rPr>
          <w:szCs w:val="22"/>
        </w:rPr>
        <w:t> </w:t>
      </w:r>
      <w:r w:rsidRPr="00B23210">
        <w:rPr>
          <w:szCs w:val="22"/>
        </w:rPr>
        <w:t>Prozent.</w:t>
      </w:r>
    </w:p>
    <w:p w14:paraId="07F4254D" w14:textId="101BBA09" w:rsidR="00816BB1" w:rsidRPr="00B23210" w:rsidRDefault="00C5792F" w:rsidP="00B23210">
      <w:pPr>
        <w:pStyle w:val="05-Boilerplate"/>
        <w:rPr>
          <w:rFonts w:ascii="Calibri" w:hAnsi="Calibri"/>
        </w:rPr>
      </w:pPr>
      <w:r w:rsidRPr="00B23210">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2019 einen Umsatz von 44,5 Milliarden Euro und beschäftigt aktuell rund 240.000 Mitarbeiter in 59</w:t>
      </w:r>
      <w:r w:rsidR="00367F58" w:rsidRPr="00B23210">
        <w:t> </w:t>
      </w:r>
      <w:r w:rsidRPr="00B23210">
        <w:t>Ländern und Märkten.</w:t>
      </w:r>
    </w:p>
    <w:p w14:paraId="2378D823" w14:textId="450FBDE0" w:rsidR="00B54BA4" w:rsidRPr="00B23210" w:rsidRDefault="005F042A" w:rsidP="00B54BA4">
      <w:pPr>
        <w:pStyle w:val="08-SubheadContact"/>
        <w:ind w:left="708" w:hanging="708"/>
        <w:rPr>
          <w:szCs w:val="22"/>
        </w:rPr>
      </w:pPr>
      <w:r w:rsidRPr="00B23210">
        <w:rPr>
          <w:szCs w:val="22"/>
        </w:rPr>
        <w:t xml:space="preserve">Kontakt für Journalisten </w:t>
      </w:r>
    </w:p>
    <w:p w14:paraId="6E0874D4" w14:textId="77777777" w:rsidR="009C40BB" w:rsidRPr="00B23210" w:rsidRDefault="00E7355C" w:rsidP="009C40BB">
      <w:pPr>
        <w:pStyle w:val="11-Contact-Line"/>
        <w:rPr>
          <w:szCs w:val="22"/>
        </w:rPr>
      </w:pPr>
      <w:r>
        <w:rPr>
          <w:noProof/>
          <w:szCs w:val="22"/>
        </w:rPr>
        <w:pict w14:anchorId="2A5D9E21">
          <v:rect id="_x0000_i1025" alt="" style="width:481.85pt;height:1pt;mso-width-percent:0;mso-height-percent:0;mso-width-percent:0;mso-height-percent:0" o:hralign="center" o:hrstd="t" o:hrnoshade="t" o:hr="t" fillcolor="black" stroked="f"/>
        </w:pict>
      </w:r>
    </w:p>
    <w:p w14:paraId="6CDD1E30" w14:textId="77777777" w:rsidR="00C5792F" w:rsidRPr="00B23210" w:rsidRDefault="00C5792F" w:rsidP="00C5792F">
      <w:pPr>
        <w:pStyle w:val="06-Contact"/>
        <w:rPr>
          <w:rFonts w:ascii="Calibri" w:hAnsi="Calibri"/>
        </w:rPr>
      </w:pPr>
      <w:bookmarkStart w:id="10" w:name="_Hlk2676672"/>
      <w:r w:rsidRPr="00B23210">
        <w:t>Henry Schniewind</w:t>
      </w:r>
    </w:p>
    <w:p w14:paraId="79DBF638" w14:textId="77777777" w:rsidR="00C5792F" w:rsidRPr="00B23210" w:rsidRDefault="00C5792F" w:rsidP="00C5792F">
      <w:pPr>
        <w:pStyle w:val="06-Contact"/>
      </w:pPr>
      <w:r w:rsidRPr="00B23210">
        <w:t>Pressesprecher Wirtschaft und Finanzen</w:t>
      </w:r>
    </w:p>
    <w:p w14:paraId="0681BA02" w14:textId="77777777" w:rsidR="00C5792F" w:rsidRPr="006F53B8" w:rsidRDefault="00C5792F" w:rsidP="00C5792F">
      <w:pPr>
        <w:pStyle w:val="06-Contact"/>
        <w:rPr>
          <w:lang w:val="fr-FR"/>
        </w:rPr>
      </w:pPr>
      <w:r w:rsidRPr="006F53B8">
        <w:rPr>
          <w:lang w:val="fr-FR"/>
        </w:rPr>
        <w:t>Continental</w:t>
      </w:r>
    </w:p>
    <w:p w14:paraId="39C9955A" w14:textId="77777777" w:rsidR="00C5792F" w:rsidRPr="006F53B8" w:rsidRDefault="00C5792F" w:rsidP="00C5792F">
      <w:pPr>
        <w:pStyle w:val="06-Contact"/>
        <w:rPr>
          <w:lang w:val="fr-FR"/>
        </w:rPr>
      </w:pPr>
      <w:r w:rsidRPr="006F53B8">
        <w:rPr>
          <w:lang w:val="fr-FR"/>
        </w:rPr>
        <w:t>Telefon: +49 511 938-1278</w:t>
      </w:r>
    </w:p>
    <w:p w14:paraId="05736122" w14:textId="77777777" w:rsidR="00C5792F" w:rsidRPr="006F53B8" w:rsidRDefault="00C5792F" w:rsidP="00C5792F">
      <w:pPr>
        <w:pStyle w:val="06-Contact"/>
        <w:rPr>
          <w:lang w:val="fr-FR"/>
        </w:rPr>
      </w:pPr>
      <w:r w:rsidRPr="006F53B8">
        <w:rPr>
          <w:lang w:val="fr-FR"/>
        </w:rPr>
        <w:t>Mobil: +49 151 68864262</w:t>
      </w:r>
    </w:p>
    <w:p w14:paraId="36621B1C" w14:textId="4EFDB1A4" w:rsidR="00C5792F" w:rsidRPr="006F53B8" w:rsidRDefault="00C5792F" w:rsidP="00C5792F">
      <w:pPr>
        <w:pStyle w:val="06-Contact"/>
      </w:pPr>
      <w:r w:rsidRPr="006F53B8">
        <w:rPr>
          <w:lang w:val="fr-FR"/>
        </w:rPr>
        <w:t xml:space="preserve">E-Mail: </w:t>
      </w:r>
      <w:hyperlink r:id="rId7" w:history="1">
        <w:r w:rsidR="009578ED" w:rsidRPr="006F53B8">
          <w:rPr>
            <w:rStyle w:val="Hyperlink"/>
            <w:color w:val="auto"/>
            <w:u w:val="none"/>
          </w:rPr>
          <w:t>henry.schniewind@conti.de</w:t>
        </w:r>
      </w:hyperlink>
    </w:p>
    <w:p w14:paraId="15B4288D" w14:textId="77777777" w:rsidR="008E5C7F" w:rsidRPr="006F53B8" w:rsidRDefault="008E5C7F" w:rsidP="00C5792F">
      <w:pPr>
        <w:pStyle w:val="06-Contact"/>
        <w:rPr>
          <w:szCs w:val="22"/>
          <w:lang w:val="fr-FR"/>
        </w:rPr>
      </w:pPr>
    </w:p>
    <w:p w14:paraId="5DE4E9D6" w14:textId="77777777" w:rsidR="00C5792F" w:rsidRPr="006F53B8" w:rsidRDefault="00C5792F" w:rsidP="00C5792F">
      <w:pPr>
        <w:pStyle w:val="06-Contact"/>
        <w:rPr>
          <w:rFonts w:ascii="Calibri" w:hAnsi="Calibri"/>
          <w:lang w:val="fr-FR"/>
        </w:rPr>
      </w:pPr>
      <w:r w:rsidRPr="006F53B8">
        <w:rPr>
          <w:lang w:val="fr-FR"/>
        </w:rPr>
        <w:t>Vincent Charles</w:t>
      </w:r>
    </w:p>
    <w:p w14:paraId="31EBAC15" w14:textId="77777777" w:rsidR="00C5792F" w:rsidRPr="006F53B8" w:rsidRDefault="00C5792F" w:rsidP="00C5792F">
      <w:pPr>
        <w:pStyle w:val="06-Contact"/>
      </w:pPr>
      <w:r w:rsidRPr="006F53B8">
        <w:t>Leiter Medien</w:t>
      </w:r>
    </w:p>
    <w:p w14:paraId="39356657" w14:textId="77777777" w:rsidR="00C5792F" w:rsidRPr="006F53B8" w:rsidRDefault="00C5792F" w:rsidP="00C5792F">
      <w:pPr>
        <w:pStyle w:val="06-Contact"/>
      </w:pPr>
      <w:r w:rsidRPr="006F53B8">
        <w:t>Continental</w:t>
      </w:r>
    </w:p>
    <w:p w14:paraId="50A3E0BC" w14:textId="77777777" w:rsidR="00C5792F" w:rsidRPr="006F53B8" w:rsidRDefault="00C5792F" w:rsidP="00C5792F">
      <w:pPr>
        <w:pStyle w:val="06-Contact"/>
      </w:pPr>
      <w:r w:rsidRPr="006F53B8">
        <w:t>Telefon: +49 511 938-1364</w:t>
      </w:r>
    </w:p>
    <w:p w14:paraId="39F170ED" w14:textId="7F70FE0C" w:rsidR="00C5792F" w:rsidRPr="006F53B8" w:rsidRDefault="00C5792F" w:rsidP="00C5792F">
      <w:pPr>
        <w:pStyle w:val="06-Contact"/>
      </w:pPr>
      <w:r w:rsidRPr="006F53B8">
        <w:t>Mobil: +49 173 3145096</w:t>
      </w:r>
    </w:p>
    <w:p w14:paraId="0DDA9D03" w14:textId="5C1B6BD3" w:rsidR="008E5C7F" w:rsidRPr="006F53B8" w:rsidRDefault="00C5792F" w:rsidP="00B54BA4">
      <w:pPr>
        <w:pStyle w:val="06-Contact"/>
      </w:pPr>
      <w:r w:rsidRPr="006F53B8">
        <w:t xml:space="preserve">E-Mail: </w:t>
      </w:r>
      <w:hyperlink r:id="rId8" w:history="1">
        <w:r w:rsidRPr="006F53B8">
          <w:rPr>
            <w:rStyle w:val="Hyperlink"/>
            <w:rFonts w:cs="Arial"/>
            <w:color w:val="auto"/>
            <w:u w:val="none"/>
          </w:rPr>
          <w:t>vincent.charles@conti.de</w:t>
        </w:r>
      </w:hyperlink>
    </w:p>
    <w:bookmarkEnd w:id="10"/>
    <w:p w14:paraId="3DE4CCF7" w14:textId="77777777" w:rsidR="009C40BB" w:rsidRPr="006F53B8" w:rsidRDefault="00E7355C" w:rsidP="009C40BB">
      <w:pPr>
        <w:pStyle w:val="11-Contact-Line"/>
        <w:rPr>
          <w:szCs w:val="22"/>
        </w:rPr>
        <w:sectPr w:rsidR="009C40BB" w:rsidRPr="006F53B8" w:rsidSect="0020215C">
          <w:headerReference w:type="default" r:id="rId9"/>
          <w:footerReference w:type="default" r:id="rId10"/>
          <w:headerReference w:type="first" r:id="rId11"/>
          <w:footerReference w:type="first" r:id="rId12"/>
          <w:type w:val="continuous"/>
          <w:pgSz w:w="11906" w:h="16838" w:code="9"/>
          <w:pgMar w:top="2835" w:right="851" w:bottom="1134" w:left="1418" w:header="709" w:footer="454" w:gutter="0"/>
          <w:cols w:space="720"/>
          <w:docGrid w:linePitch="299"/>
        </w:sectPr>
      </w:pPr>
      <w:r>
        <w:rPr>
          <w:noProof/>
          <w:szCs w:val="22"/>
        </w:rPr>
        <w:pict w14:anchorId="3DB955F5">
          <v:rect id="_x0000_i1026" alt="" style="width:481.85pt;height:1pt;mso-width-percent:0;mso-height-percent:0;mso-width-percent:0;mso-height-percent:0" o:hralign="center" o:hrstd="t" o:hrnoshade="t" o:hr="t" fillcolor="black" stroked="f"/>
        </w:pict>
      </w:r>
    </w:p>
    <w:p w14:paraId="4D76BACE" w14:textId="2CB830B6" w:rsidR="009C40BB" w:rsidRPr="006F53B8" w:rsidRDefault="00207863" w:rsidP="00575716">
      <w:pPr>
        <w:pStyle w:val="06-Contact"/>
        <w:rPr>
          <w:szCs w:val="22"/>
        </w:rPr>
      </w:pPr>
      <w:r w:rsidRPr="006F53B8">
        <w:rPr>
          <w:b/>
          <w:szCs w:val="22"/>
        </w:rPr>
        <w:t>Presseportal</w:t>
      </w:r>
      <w:r w:rsidR="00575716" w:rsidRPr="006F53B8">
        <w:rPr>
          <w:b/>
          <w:szCs w:val="22"/>
        </w:rPr>
        <w:t>:</w:t>
      </w:r>
      <w:r w:rsidR="00E40548" w:rsidRPr="006F53B8">
        <w:rPr>
          <w:b/>
          <w:szCs w:val="22"/>
        </w:rPr>
        <w:tab/>
      </w:r>
      <w:hyperlink r:id="rId13" w:history="1">
        <w:r w:rsidR="002C62AC" w:rsidRPr="006F53B8">
          <w:rPr>
            <w:rStyle w:val="Hyperlink"/>
            <w:color w:val="auto"/>
            <w:szCs w:val="22"/>
            <w:u w:val="none"/>
          </w:rPr>
          <w:t>www.continental-presse.de</w:t>
        </w:r>
      </w:hyperlink>
    </w:p>
    <w:p w14:paraId="7E87F56F" w14:textId="31318B89" w:rsidR="00840836" w:rsidRPr="006F53B8" w:rsidRDefault="001B5139" w:rsidP="00840836">
      <w:pPr>
        <w:pStyle w:val="06-Contact"/>
        <w:rPr>
          <w:szCs w:val="22"/>
        </w:rPr>
      </w:pPr>
      <w:r w:rsidRPr="006F53B8">
        <w:rPr>
          <w:b/>
          <w:bCs/>
          <w:szCs w:val="22"/>
        </w:rPr>
        <w:t>Mediathek</w:t>
      </w:r>
      <w:r w:rsidR="00840836" w:rsidRPr="006F53B8">
        <w:rPr>
          <w:b/>
          <w:bCs/>
          <w:szCs w:val="22"/>
        </w:rPr>
        <w:t>:</w:t>
      </w:r>
      <w:r w:rsidR="00840836" w:rsidRPr="006F53B8">
        <w:rPr>
          <w:b/>
          <w:bCs/>
          <w:szCs w:val="22"/>
        </w:rPr>
        <w:tab/>
      </w:r>
      <w:hyperlink r:id="rId14" w:history="1">
        <w:r w:rsidR="002C62AC" w:rsidRPr="006F53B8">
          <w:rPr>
            <w:rStyle w:val="Hyperlink"/>
            <w:color w:val="auto"/>
            <w:szCs w:val="22"/>
            <w:u w:val="none"/>
          </w:rPr>
          <w:t>www.continental.de/mediathek</w:t>
        </w:r>
      </w:hyperlink>
    </w:p>
    <w:p w14:paraId="64983EB2" w14:textId="5D29DDBE" w:rsidR="002C62AC" w:rsidRPr="006F53B8" w:rsidRDefault="002C62AC" w:rsidP="00840836">
      <w:pPr>
        <w:pStyle w:val="06-Contact"/>
        <w:rPr>
          <w:b/>
          <w:szCs w:val="22"/>
        </w:rPr>
      </w:pPr>
      <w:r w:rsidRPr="006F53B8">
        <w:rPr>
          <w:b/>
        </w:rPr>
        <w:t>Twitter:</w:t>
      </w:r>
      <w:r w:rsidRPr="006F53B8">
        <w:rPr>
          <w:b/>
        </w:rPr>
        <w:tab/>
      </w:r>
      <w:hyperlink r:id="rId15" w:history="1">
        <w:r w:rsidRPr="006F53B8">
          <w:rPr>
            <w:rStyle w:val="Hyperlink"/>
            <w:bCs/>
            <w:color w:val="auto"/>
            <w:u w:val="none"/>
          </w:rPr>
          <w:t>@Conti_Press</w:t>
        </w:r>
      </w:hyperlink>
    </w:p>
    <w:sectPr w:rsidR="002C62AC" w:rsidRPr="006F53B8" w:rsidSect="00FA43D0">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9A786" w14:textId="77777777" w:rsidR="006F304F" w:rsidRDefault="006F304F">
      <w:pPr>
        <w:spacing w:after="0" w:line="240" w:lineRule="auto"/>
      </w:pPr>
      <w:r>
        <w:separator/>
      </w:r>
    </w:p>
  </w:endnote>
  <w:endnote w:type="continuationSeparator" w:id="0">
    <w:p w14:paraId="4E607C4E" w14:textId="77777777" w:rsidR="006F304F" w:rsidRDefault="006F304F">
      <w:pPr>
        <w:spacing w:after="0" w:line="240" w:lineRule="auto"/>
      </w:pPr>
      <w:r>
        <w:continuationSeparator/>
      </w:r>
    </w:p>
  </w:endnote>
  <w:endnote w:type="continuationNotice" w:id="1">
    <w:p w14:paraId="5EBBE58E" w14:textId="77777777" w:rsidR="006F304F" w:rsidRDefault="006F30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tinental Stag Sans Light">
    <w:altName w:val="Calibri"/>
    <w:panose1 w:val="00000000000000000000"/>
    <w:charset w:val="00"/>
    <w:family w:val="swiss"/>
    <w:notTrueType/>
    <w:pitch w:val="variable"/>
    <w:sig w:usb0="00000087" w:usb1="00000000"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ontinental Stag Sans Med">
    <w:altName w:val="Calibri"/>
    <w:panose1 w:val="00000000000000000000"/>
    <w:charset w:val="00"/>
    <w:family w:val="swiss"/>
    <w:notTrueType/>
    <w:pitch w:val="variable"/>
    <w:sig w:usb0="00000087"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21A6" w14:textId="77777777" w:rsidR="00D73C2C" w:rsidRDefault="00D73C2C" w:rsidP="00E40548">
    <w:pPr>
      <w:pStyle w:val="09-Footer"/>
      <w:shd w:val="solid" w:color="FFFFFF" w:fill="auto"/>
      <w:rPr>
        <w:noProof/>
      </w:rPr>
    </w:pPr>
    <w:r>
      <w:rPr>
        <w:noProof/>
      </w:rPr>
      <mc:AlternateContent>
        <mc:Choice Requires="wps">
          <w:drawing>
            <wp:anchor distT="45720" distB="45720" distL="114300" distR="114300" simplePos="0" relativeHeight="251665408"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D73C2C" w:rsidRPr="0006310A" w:rsidRDefault="00D73C2C"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D73C2C" w:rsidRPr="0006310A" w:rsidRDefault="00D73C2C"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Uu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GO1UuBgIAAOoDAAAOAAAAAAAA&#10;AAAAAAAAAC4CAABkcnMvZTJvRG9jLnhtbFBLAQItABQABgAIAAAAIQCtTnkD2QAAAAUBAAAPAAAA&#10;AAAAAAAAAAAAAGAEAABkcnMvZG93bnJldi54bWxQSwUGAAAAAAQABADzAAAAZgUAAAAA&#10;" filled="f" stroked="f">
              <v:textbox style="mso-fit-shape-to-text:t" inset="0,0,0,0">
                <w:txbxContent>
                  <w:p w14:paraId="2A79C02C" w14:textId="77777777" w:rsidR="00D73C2C" w:rsidRPr="0006310A" w:rsidRDefault="00D73C2C"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D73C2C" w:rsidRPr="0006310A" w:rsidRDefault="00D73C2C"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5329FA18" w:rsidR="00D73C2C" w:rsidRPr="00E40548" w:rsidRDefault="00D73C2C" w:rsidP="00E40548">
    <w:pPr>
      <w:pStyle w:val="09-Footer"/>
      <w:shd w:val="solid" w:color="FFFFFF" w:fill="auto"/>
      <w:rPr>
        <w:noProof/>
      </w:rPr>
    </w:pPr>
    <w:r>
      <w:rPr>
        <w:noProof/>
      </w:rPr>
      <w:t xml:space="preserve">Henry Schniewind, Telefon: </w:t>
    </w:r>
    <w:r>
      <w:rPr>
        <w:noProof/>
      </w:rPr>
      <mc:AlternateContent>
        <mc:Choice Requires="wps">
          <w:drawing>
            <wp:anchor distT="4294967292" distB="4294967292" distL="114300" distR="114300" simplePos="0" relativeHeight="251663360"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9E843E"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336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hLgIAAE4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D/ciahLgIAAE4EAAAOAAAAAAAAAAAAAAAAAC4CAABkcnMv&#10;ZTJvRG9jLnhtbFBLAQItABQABgAIAAAAIQA0ZDI42wAAAAcBAAAPAAAAAAAAAAAAAAAAAIgEAABk&#10;cnMvZG93bnJldi54bWxQSwUGAAAAAAQABADzAAAAkAUAAAAA&#10;" strokeweight=".5pt">
              <w10:wrap anchorx="page" anchory="page"/>
            </v:shape>
          </w:pict>
        </mc:Fallback>
      </mc:AlternateContent>
    </w:r>
    <w:r>
      <w:rPr>
        <w:noProof/>
      </w:rPr>
      <w:t>+49 511 938-1278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9843" w14:textId="77777777" w:rsidR="00D73C2C" w:rsidRDefault="00D73C2C" w:rsidP="00E40548">
    <w:pPr>
      <w:pStyle w:val="09-Footer"/>
      <w:shd w:val="solid" w:color="FFFFFF" w:fill="auto"/>
      <w:rPr>
        <w:noProof/>
      </w:rPr>
    </w:pPr>
    <w:r>
      <w:rPr>
        <w:noProof/>
      </w:rPr>
      <mc:AlternateContent>
        <mc:Choice Requires="wps">
          <w:drawing>
            <wp:anchor distT="45720" distB="45720" distL="114300" distR="114300" simplePos="0" relativeHeight="251657216"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2F9FCE1F" w:rsidR="00D73C2C" w:rsidRPr="00213B9A" w:rsidRDefault="00D73C2C"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175C2F">
                            <w:rPr>
                              <w:rFonts w:cs="Arial"/>
                              <w:noProof/>
                              <w:sz w:val="18"/>
                              <w:lang w:val="en-US"/>
                            </w:rPr>
                            <w:instrText>8</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175C2F">
                            <w:rPr>
                              <w:rFonts w:cs="Arial"/>
                              <w:noProof/>
                              <w:sz w:val="18"/>
                              <w:lang w:val="en-US"/>
                            </w:rPr>
                            <w:instrText>8</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175C2F"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175C2F">
                            <w:rPr>
                              <w:rFonts w:cs="Arial"/>
                              <w:noProof/>
                              <w:sz w:val="18"/>
                              <w:lang w:val="en-US"/>
                            </w:rPr>
                            <w:instrText>8</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175C2F">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175C2F" w:rsidRPr="00213B9A">
                            <w:rPr>
                              <w:rFonts w:cs="Arial"/>
                              <w:noProof/>
                              <w:sz w:val="18"/>
                              <w:lang w:val="en-US"/>
                            </w:rPr>
                            <w:t>.../</w:t>
                          </w:r>
                          <w:r w:rsidR="00175C2F">
                            <w:rPr>
                              <w:rFonts w:cs="Arial"/>
                              <w:noProof/>
                              <w:sz w:val="18"/>
                              <w:lang w:val="en-US"/>
                            </w:rPr>
                            <w:t>3</w:t>
                          </w:r>
                          <w:r w:rsidRPr="00213B9A">
                            <w:rPr>
                              <w:rFonts w:cs="Arial"/>
                              <w:sz w:val="18"/>
                            </w:rPr>
                            <w:fldChar w:fldCharType="end"/>
                          </w:r>
                        </w:p>
                        <w:p w14:paraId="5DEA47DA" w14:textId="77777777" w:rsidR="00D73C2C" w:rsidRPr="00213B9A" w:rsidRDefault="00D73C2C"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43F30A98" w14:textId="2F9FCE1F" w:rsidR="00D73C2C" w:rsidRPr="00213B9A" w:rsidRDefault="00D73C2C"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175C2F">
                      <w:rPr>
                        <w:rFonts w:cs="Arial"/>
                        <w:noProof/>
                        <w:sz w:val="18"/>
                        <w:lang w:val="en-US"/>
                      </w:rPr>
                      <w:instrText>8</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175C2F">
                      <w:rPr>
                        <w:rFonts w:cs="Arial"/>
                        <w:noProof/>
                        <w:sz w:val="18"/>
                        <w:lang w:val="en-US"/>
                      </w:rPr>
                      <w:instrText>8</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175C2F"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175C2F">
                      <w:rPr>
                        <w:rFonts w:cs="Arial"/>
                        <w:noProof/>
                        <w:sz w:val="18"/>
                        <w:lang w:val="en-US"/>
                      </w:rPr>
                      <w:instrText>8</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175C2F">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175C2F" w:rsidRPr="00213B9A">
                      <w:rPr>
                        <w:rFonts w:cs="Arial"/>
                        <w:noProof/>
                        <w:sz w:val="18"/>
                        <w:lang w:val="en-US"/>
                      </w:rPr>
                      <w:t>.../</w:t>
                    </w:r>
                    <w:r w:rsidR="00175C2F">
                      <w:rPr>
                        <w:rFonts w:cs="Arial"/>
                        <w:noProof/>
                        <w:sz w:val="18"/>
                        <w:lang w:val="en-US"/>
                      </w:rPr>
                      <w:t>3</w:t>
                    </w:r>
                    <w:r w:rsidRPr="00213B9A">
                      <w:rPr>
                        <w:rFonts w:cs="Arial"/>
                        <w:sz w:val="18"/>
                      </w:rPr>
                      <w:fldChar w:fldCharType="end"/>
                    </w:r>
                  </w:p>
                  <w:p w14:paraId="5DEA47DA" w14:textId="77777777" w:rsidR="00D73C2C" w:rsidRPr="00213B9A" w:rsidRDefault="00D73C2C"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D73C2C" w:rsidRDefault="00D73C2C"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5168"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601466"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516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D6251" w14:textId="77777777" w:rsidR="006F304F" w:rsidRDefault="006F304F">
      <w:pPr>
        <w:spacing w:after="0" w:line="240" w:lineRule="auto"/>
      </w:pPr>
      <w:r>
        <w:separator/>
      </w:r>
    </w:p>
  </w:footnote>
  <w:footnote w:type="continuationSeparator" w:id="0">
    <w:p w14:paraId="178CFC5C" w14:textId="77777777" w:rsidR="006F304F" w:rsidRDefault="006F304F">
      <w:pPr>
        <w:spacing w:after="0" w:line="240" w:lineRule="auto"/>
      </w:pPr>
      <w:r>
        <w:continuationSeparator/>
      </w:r>
    </w:p>
  </w:footnote>
  <w:footnote w:type="continuationNotice" w:id="1">
    <w:p w14:paraId="7BB1BD2D" w14:textId="77777777" w:rsidR="006F304F" w:rsidRDefault="006F30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D8CEB" w14:textId="3F6EE6AF" w:rsidR="00D73C2C" w:rsidRPr="00216088" w:rsidRDefault="00D73C2C" w:rsidP="00E40548">
    <w:pPr>
      <w:pStyle w:val="Kopfzeile"/>
    </w:pPr>
    <w:r w:rsidRPr="00216088">
      <w:rPr>
        <w:noProof/>
        <w:lang w:eastAsia="de-DE"/>
      </w:rPr>
      <w:t xml:space="preserve"> </w:t>
    </w:r>
    <w:r w:rsidRPr="00216088">
      <w:rPr>
        <w:noProof/>
        <w:lang w:eastAsia="de-DE"/>
      </w:rPr>
      <mc:AlternateContent>
        <mc:Choice Requires="wps">
          <w:drawing>
            <wp:anchor distT="0" distB="0" distL="114300" distR="114300" simplePos="0" relativeHeight="251653120"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D73C2C" w:rsidRDefault="00D73C2C" w:rsidP="004C6C5D">
                          <w:pPr>
                            <w:pStyle w:val="12-Title"/>
                            <w:rPr>
                              <w:sz w:val="22"/>
                              <w:szCs w:val="22"/>
                            </w:rPr>
                          </w:pPr>
                        </w:p>
                        <w:p w14:paraId="2F38E479" w14:textId="77777777" w:rsidR="00D73C2C" w:rsidRPr="00213B9A" w:rsidRDefault="00D73C2C" w:rsidP="004C6C5D">
                          <w:pPr>
                            <w:pStyle w:val="12-Title"/>
                            <w:rPr>
                              <w:lang w:val="en-US"/>
                            </w:rPr>
                          </w:pPr>
                          <w:r>
                            <w:rPr>
                              <w:lang w:val="en-US"/>
                            </w:rPr>
                            <w:t>Pressemitteilung</w:t>
                          </w:r>
                        </w:p>
                        <w:p w14:paraId="34A1C695" w14:textId="77777777" w:rsidR="00D73C2C" w:rsidRDefault="00D73C2C"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" filled="f" stroked="f" strokeweight=".5pt">
              <v:textbox inset="0,0,0,0">
                <w:txbxContent>
                  <w:p w14:paraId="456AD9F8" w14:textId="77777777" w:rsidR="00D73C2C" w:rsidRDefault="00D73C2C" w:rsidP="004C6C5D">
                    <w:pPr>
                      <w:pStyle w:val="12-Title"/>
                      <w:rPr>
                        <w:sz w:val="22"/>
                        <w:szCs w:val="22"/>
                      </w:rPr>
                    </w:pPr>
                  </w:p>
                  <w:p w14:paraId="2F38E479" w14:textId="77777777" w:rsidR="00D73C2C" w:rsidRPr="00213B9A" w:rsidRDefault="00D73C2C" w:rsidP="004C6C5D">
                    <w:pPr>
                      <w:pStyle w:val="12-Title"/>
                      <w:rPr>
                        <w:lang w:val="en-US"/>
                      </w:rPr>
                    </w:pPr>
                    <w:r>
                      <w:rPr>
                        <w:lang w:val="en-US"/>
                      </w:rPr>
                      <w:t>Pressemitteilung</w:t>
                    </w:r>
                  </w:p>
                  <w:p w14:paraId="34A1C695" w14:textId="77777777" w:rsidR="00D73C2C" w:rsidRDefault="00D73C2C" w:rsidP="004C6C5D">
                    <w:pPr>
                      <w:pStyle w:val="12-Title"/>
                    </w:pPr>
                    <w:r>
                      <w:br/>
                    </w:r>
                  </w:p>
                </w:txbxContent>
              </v:textbox>
              <w10:wrap anchorx="margin" anchory="page"/>
            </v:shape>
          </w:pict>
        </mc:Fallback>
      </mc:AlternateContent>
    </w:r>
    <w:r>
      <w:rPr>
        <w:noProof/>
        <w:lang w:eastAsia="de-DE"/>
      </w:rPr>
      <w:drawing>
        <wp:anchor distT="0" distB="0" distL="114300" distR="114300" simplePos="0" relativeHeight="251651072"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5"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0EE003B6" w:rsidR="00D73C2C" w:rsidRDefault="00D73C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9400" w14:textId="77777777" w:rsidR="00D73C2C" w:rsidRPr="00216088" w:rsidRDefault="00D73C2C" w:rsidP="00E40548">
    <w:pPr>
      <w:pStyle w:val="Kopfzeile"/>
    </w:pPr>
    <w:r>
      <w:rPr>
        <w:noProof/>
        <w:lang w:eastAsia="de-DE"/>
      </w:rPr>
      <mc:AlternateContent>
        <mc:Choice Requires="wps">
          <w:drawing>
            <wp:anchor distT="45720" distB="45720" distL="114300" distR="114300" simplePos="0" relativeHeight="251661312"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5227A5DF" w:rsidR="00D73C2C" w:rsidRPr="00213B9A" w:rsidRDefault="00D73C2C"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175C2F" w:rsidRPr="00213B9A">
                            <w:rPr>
                              <w:rFonts w:cs="Arial"/>
                              <w:noProof/>
                              <w:sz w:val="18"/>
                              <w:lang w:val="en-US"/>
                            </w:rPr>
                            <w:t xml:space="preserve">- </w:t>
                          </w:r>
                          <w:r w:rsidR="00175C2F">
                            <w:rPr>
                              <w:rFonts w:cs="Arial"/>
                              <w:noProof/>
                              <w:sz w:val="18"/>
                              <w:lang w:val="en-US"/>
                            </w:rPr>
                            <w:t>2</w:t>
                          </w:r>
                          <w:r w:rsidR="00175C2F"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CTe5PvDQIAAPkD&#10;AAAOAAAAAAAAAAAAAAAAAC4CAABkcnMvZTJvRG9jLnhtbFBLAQItABQABgAIAAAAIQBAS+Tw2wAA&#10;AAgBAAAPAAAAAAAAAAAAAAAAAGcEAABkcnMvZG93bnJldi54bWxQSwUGAAAAAAQABADzAAAAbwUA&#10;AAAA&#10;" filled="f" stroked="f">
              <v:textbox>
                <w:txbxContent>
                  <w:p w14:paraId="45940F36" w14:textId="5227A5DF" w:rsidR="00D73C2C" w:rsidRPr="00213B9A" w:rsidRDefault="00D73C2C"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175C2F" w:rsidRPr="00213B9A">
                      <w:rPr>
                        <w:rFonts w:cs="Arial"/>
                        <w:noProof/>
                        <w:sz w:val="18"/>
                        <w:lang w:val="en-US"/>
                      </w:rPr>
                      <w:t xml:space="preserve">- </w:t>
                    </w:r>
                    <w:r w:rsidR="00175C2F">
                      <w:rPr>
                        <w:rFonts w:cs="Arial"/>
                        <w:noProof/>
                        <w:sz w:val="18"/>
                        <w:lang w:val="en-US"/>
                      </w:rPr>
                      <w:t>2</w:t>
                    </w:r>
                    <w:r w:rsidR="00175C2F"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926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6"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D73C2C" w:rsidRDefault="00D73C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D2910"/>
    <w:multiLevelType w:val="hybridMultilevel"/>
    <w:tmpl w:val="5350BC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F8435D"/>
    <w:multiLevelType w:val="hybridMultilevel"/>
    <w:tmpl w:val="F4E80742"/>
    <w:lvl w:ilvl="0" w:tplc="BE30C38C">
      <w:start w:val="1"/>
      <w:numFmt w:val="bullet"/>
      <w:pStyle w:val="05-Answer"/>
      <w:lvlText w:val="›"/>
      <w:lvlJc w:val="left"/>
      <w:pPr>
        <w:ind w:left="1940" w:hanging="360"/>
      </w:pPr>
      <w:rPr>
        <w:rFonts w:ascii="Arial" w:hAnsi="Arial" w:cs="Times New Roman" w:hint="default"/>
        <w:b/>
        <w:i w:val="0"/>
        <w:color w:val="4472C4"/>
      </w:rPr>
    </w:lvl>
    <w:lvl w:ilvl="1" w:tplc="04070003">
      <w:start w:val="1"/>
      <w:numFmt w:val="bullet"/>
      <w:lvlText w:val="o"/>
      <w:lvlJc w:val="left"/>
      <w:pPr>
        <w:ind w:left="2660" w:hanging="360"/>
      </w:pPr>
      <w:rPr>
        <w:rFonts w:ascii="Courier New" w:hAnsi="Courier New" w:cs="Courier New" w:hint="default"/>
      </w:rPr>
    </w:lvl>
    <w:lvl w:ilvl="2" w:tplc="04070005">
      <w:start w:val="1"/>
      <w:numFmt w:val="bullet"/>
      <w:lvlText w:val=""/>
      <w:lvlJc w:val="left"/>
      <w:pPr>
        <w:ind w:left="3380" w:hanging="360"/>
      </w:pPr>
      <w:rPr>
        <w:rFonts w:ascii="Wingdings" w:hAnsi="Wingdings" w:hint="default"/>
      </w:rPr>
    </w:lvl>
    <w:lvl w:ilvl="3" w:tplc="04070001">
      <w:start w:val="1"/>
      <w:numFmt w:val="bullet"/>
      <w:lvlText w:val=""/>
      <w:lvlJc w:val="left"/>
      <w:pPr>
        <w:ind w:left="4100" w:hanging="360"/>
      </w:pPr>
      <w:rPr>
        <w:rFonts w:ascii="Symbol" w:hAnsi="Symbol" w:hint="default"/>
      </w:rPr>
    </w:lvl>
    <w:lvl w:ilvl="4" w:tplc="04070003">
      <w:start w:val="1"/>
      <w:numFmt w:val="bullet"/>
      <w:lvlText w:val="o"/>
      <w:lvlJc w:val="left"/>
      <w:pPr>
        <w:ind w:left="4820" w:hanging="360"/>
      </w:pPr>
      <w:rPr>
        <w:rFonts w:ascii="Courier New" w:hAnsi="Courier New" w:cs="Courier New" w:hint="default"/>
      </w:rPr>
    </w:lvl>
    <w:lvl w:ilvl="5" w:tplc="04070005">
      <w:start w:val="1"/>
      <w:numFmt w:val="bullet"/>
      <w:lvlText w:val=""/>
      <w:lvlJc w:val="left"/>
      <w:pPr>
        <w:ind w:left="5540" w:hanging="360"/>
      </w:pPr>
      <w:rPr>
        <w:rFonts w:ascii="Wingdings" w:hAnsi="Wingdings" w:hint="default"/>
      </w:rPr>
    </w:lvl>
    <w:lvl w:ilvl="6" w:tplc="04070001">
      <w:start w:val="1"/>
      <w:numFmt w:val="bullet"/>
      <w:lvlText w:val=""/>
      <w:lvlJc w:val="left"/>
      <w:pPr>
        <w:ind w:left="6260" w:hanging="360"/>
      </w:pPr>
      <w:rPr>
        <w:rFonts w:ascii="Symbol" w:hAnsi="Symbol" w:hint="default"/>
      </w:rPr>
    </w:lvl>
    <w:lvl w:ilvl="7" w:tplc="04070003">
      <w:start w:val="1"/>
      <w:numFmt w:val="bullet"/>
      <w:lvlText w:val="o"/>
      <w:lvlJc w:val="left"/>
      <w:pPr>
        <w:ind w:left="6980" w:hanging="360"/>
      </w:pPr>
      <w:rPr>
        <w:rFonts w:ascii="Courier New" w:hAnsi="Courier New" w:cs="Courier New" w:hint="default"/>
      </w:rPr>
    </w:lvl>
    <w:lvl w:ilvl="8" w:tplc="04070005">
      <w:start w:val="1"/>
      <w:numFmt w:val="bullet"/>
      <w:lvlText w:val=""/>
      <w:lvlJc w:val="left"/>
      <w:pPr>
        <w:ind w:left="7700" w:hanging="360"/>
      </w:pPr>
      <w:rPr>
        <w:rFonts w:ascii="Wingdings" w:hAnsi="Wingdings" w:hint="default"/>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7D2A81"/>
    <w:multiLevelType w:val="hybridMultilevel"/>
    <w:tmpl w:val="EB8E32D4"/>
    <w:lvl w:ilvl="0" w:tplc="F510F89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25859B1"/>
    <w:multiLevelType w:val="hybridMultilevel"/>
    <w:tmpl w:val="CD049C8A"/>
    <w:lvl w:ilvl="0" w:tplc="C988E086">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30011F"/>
    <w:multiLevelType w:val="multilevel"/>
    <w:tmpl w:val="3D2AD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2"/>
  </w:num>
  <w:num w:numId="8">
    <w:abstractNumId w:val="7"/>
  </w:num>
  <w:num w:numId="9">
    <w:abstractNumId w:val="0"/>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2006"/>
    <w:rsid w:val="000136E4"/>
    <w:rsid w:val="000143F2"/>
    <w:rsid w:val="000167A1"/>
    <w:rsid w:val="00017135"/>
    <w:rsid w:val="000219AF"/>
    <w:rsid w:val="00021E35"/>
    <w:rsid w:val="000261AF"/>
    <w:rsid w:val="0006273D"/>
    <w:rsid w:val="0006310A"/>
    <w:rsid w:val="000908D0"/>
    <w:rsid w:val="00091AE8"/>
    <w:rsid w:val="00095547"/>
    <w:rsid w:val="00096181"/>
    <w:rsid w:val="000A00EC"/>
    <w:rsid w:val="000A1024"/>
    <w:rsid w:val="000A32C9"/>
    <w:rsid w:val="000B3D58"/>
    <w:rsid w:val="000C6E36"/>
    <w:rsid w:val="000D6828"/>
    <w:rsid w:val="000E5FCA"/>
    <w:rsid w:val="000F5E0E"/>
    <w:rsid w:val="00101052"/>
    <w:rsid w:val="00103D7B"/>
    <w:rsid w:val="00105D8C"/>
    <w:rsid w:val="00112873"/>
    <w:rsid w:val="00117D11"/>
    <w:rsid w:val="001273AE"/>
    <w:rsid w:val="00127D4A"/>
    <w:rsid w:val="00130DED"/>
    <w:rsid w:val="00131176"/>
    <w:rsid w:val="00131365"/>
    <w:rsid w:val="0013137C"/>
    <w:rsid w:val="0013288F"/>
    <w:rsid w:val="0013388D"/>
    <w:rsid w:val="00140652"/>
    <w:rsid w:val="00151786"/>
    <w:rsid w:val="00153DB1"/>
    <w:rsid w:val="00162141"/>
    <w:rsid w:val="00163978"/>
    <w:rsid w:val="00170C7E"/>
    <w:rsid w:val="00175C2F"/>
    <w:rsid w:val="00181A28"/>
    <w:rsid w:val="0018402B"/>
    <w:rsid w:val="00186BAA"/>
    <w:rsid w:val="0019701F"/>
    <w:rsid w:val="001A1011"/>
    <w:rsid w:val="001A12F4"/>
    <w:rsid w:val="001B5139"/>
    <w:rsid w:val="001B6B3B"/>
    <w:rsid w:val="001C1319"/>
    <w:rsid w:val="001C5652"/>
    <w:rsid w:val="001D1F6B"/>
    <w:rsid w:val="001D6BED"/>
    <w:rsid w:val="001D7C3B"/>
    <w:rsid w:val="001E34F7"/>
    <w:rsid w:val="001E5172"/>
    <w:rsid w:val="001F2164"/>
    <w:rsid w:val="0020215C"/>
    <w:rsid w:val="00203389"/>
    <w:rsid w:val="00207863"/>
    <w:rsid w:val="002127D6"/>
    <w:rsid w:val="00213B9A"/>
    <w:rsid w:val="002168E4"/>
    <w:rsid w:val="0022020F"/>
    <w:rsid w:val="00223B46"/>
    <w:rsid w:val="0022475B"/>
    <w:rsid w:val="002268A2"/>
    <w:rsid w:val="002320E7"/>
    <w:rsid w:val="00236446"/>
    <w:rsid w:val="002418E5"/>
    <w:rsid w:val="00242961"/>
    <w:rsid w:val="00245363"/>
    <w:rsid w:val="00245907"/>
    <w:rsid w:val="0025357A"/>
    <w:rsid w:val="00256B14"/>
    <w:rsid w:val="00257CDC"/>
    <w:rsid w:val="002609B1"/>
    <w:rsid w:val="002619DA"/>
    <w:rsid w:val="00262878"/>
    <w:rsid w:val="00267EC5"/>
    <w:rsid w:val="00272678"/>
    <w:rsid w:val="00280EF9"/>
    <w:rsid w:val="002831C6"/>
    <w:rsid w:val="0028393C"/>
    <w:rsid w:val="00285167"/>
    <w:rsid w:val="00295072"/>
    <w:rsid w:val="00295D87"/>
    <w:rsid w:val="0029667F"/>
    <w:rsid w:val="00296D3A"/>
    <w:rsid w:val="002A39C9"/>
    <w:rsid w:val="002A47F6"/>
    <w:rsid w:val="002A721B"/>
    <w:rsid w:val="002B7F67"/>
    <w:rsid w:val="002C0612"/>
    <w:rsid w:val="002C4773"/>
    <w:rsid w:val="002C62AC"/>
    <w:rsid w:val="002C6F18"/>
    <w:rsid w:val="002D2D38"/>
    <w:rsid w:val="002F346C"/>
    <w:rsid w:val="00307BC9"/>
    <w:rsid w:val="00312CB9"/>
    <w:rsid w:val="00315CE5"/>
    <w:rsid w:val="0031750E"/>
    <w:rsid w:val="00320E5F"/>
    <w:rsid w:val="0032618F"/>
    <w:rsid w:val="003261EF"/>
    <w:rsid w:val="003279D1"/>
    <w:rsid w:val="00331A63"/>
    <w:rsid w:val="003363C4"/>
    <w:rsid w:val="00350145"/>
    <w:rsid w:val="003528D8"/>
    <w:rsid w:val="0036049A"/>
    <w:rsid w:val="00360DA7"/>
    <w:rsid w:val="00361D11"/>
    <w:rsid w:val="00367F58"/>
    <w:rsid w:val="00376AD4"/>
    <w:rsid w:val="003770D0"/>
    <w:rsid w:val="00377AE6"/>
    <w:rsid w:val="00391614"/>
    <w:rsid w:val="00397276"/>
    <w:rsid w:val="003A0C3A"/>
    <w:rsid w:val="003A595D"/>
    <w:rsid w:val="003A62CF"/>
    <w:rsid w:val="003B02BB"/>
    <w:rsid w:val="003B0AD0"/>
    <w:rsid w:val="003B0EB2"/>
    <w:rsid w:val="003B336C"/>
    <w:rsid w:val="003C38D3"/>
    <w:rsid w:val="003D6C07"/>
    <w:rsid w:val="003E7248"/>
    <w:rsid w:val="003F1130"/>
    <w:rsid w:val="003F55AD"/>
    <w:rsid w:val="004051F1"/>
    <w:rsid w:val="00411EB3"/>
    <w:rsid w:val="004311B7"/>
    <w:rsid w:val="00440AFE"/>
    <w:rsid w:val="00446370"/>
    <w:rsid w:val="0044670A"/>
    <w:rsid w:val="00457963"/>
    <w:rsid w:val="004635B7"/>
    <w:rsid w:val="0049432B"/>
    <w:rsid w:val="00494EEC"/>
    <w:rsid w:val="004960A2"/>
    <w:rsid w:val="00497AC3"/>
    <w:rsid w:val="004A5818"/>
    <w:rsid w:val="004B08C8"/>
    <w:rsid w:val="004B44F1"/>
    <w:rsid w:val="004B5888"/>
    <w:rsid w:val="004C4BA7"/>
    <w:rsid w:val="004C6C5D"/>
    <w:rsid w:val="004D3DBC"/>
    <w:rsid w:val="004D570A"/>
    <w:rsid w:val="004D796C"/>
    <w:rsid w:val="004E3500"/>
    <w:rsid w:val="004E3C30"/>
    <w:rsid w:val="004F3922"/>
    <w:rsid w:val="004F5A31"/>
    <w:rsid w:val="004F5C88"/>
    <w:rsid w:val="0050634B"/>
    <w:rsid w:val="005121A1"/>
    <w:rsid w:val="005154EE"/>
    <w:rsid w:val="00523A8F"/>
    <w:rsid w:val="005355F0"/>
    <w:rsid w:val="00545892"/>
    <w:rsid w:val="0056441D"/>
    <w:rsid w:val="0057087C"/>
    <w:rsid w:val="00574186"/>
    <w:rsid w:val="00575716"/>
    <w:rsid w:val="00576CB2"/>
    <w:rsid w:val="00580CEA"/>
    <w:rsid w:val="00587D8D"/>
    <w:rsid w:val="00594D89"/>
    <w:rsid w:val="0059680C"/>
    <w:rsid w:val="005A1EC4"/>
    <w:rsid w:val="005A5D8F"/>
    <w:rsid w:val="005A7E8F"/>
    <w:rsid w:val="005B13A2"/>
    <w:rsid w:val="005B218E"/>
    <w:rsid w:val="005B327B"/>
    <w:rsid w:val="005B7539"/>
    <w:rsid w:val="005C3AA5"/>
    <w:rsid w:val="005C6AB4"/>
    <w:rsid w:val="005E4C82"/>
    <w:rsid w:val="005E583C"/>
    <w:rsid w:val="005E7F23"/>
    <w:rsid w:val="005F042A"/>
    <w:rsid w:val="005F10CC"/>
    <w:rsid w:val="00602383"/>
    <w:rsid w:val="006079D2"/>
    <w:rsid w:val="006101F4"/>
    <w:rsid w:val="00611116"/>
    <w:rsid w:val="006207BF"/>
    <w:rsid w:val="00632565"/>
    <w:rsid w:val="00633747"/>
    <w:rsid w:val="00641B64"/>
    <w:rsid w:val="00645EA5"/>
    <w:rsid w:val="00663180"/>
    <w:rsid w:val="006657CD"/>
    <w:rsid w:val="0067136C"/>
    <w:rsid w:val="006719EB"/>
    <w:rsid w:val="00672328"/>
    <w:rsid w:val="006751E4"/>
    <w:rsid w:val="00676F6A"/>
    <w:rsid w:val="006824E4"/>
    <w:rsid w:val="0068503E"/>
    <w:rsid w:val="00687B64"/>
    <w:rsid w:val="006953B4"/>
    <w:rsid w:val="006B37A8"/>
    <w:rsid w:val="006B4E39"/>
    <w:rsid w:val="006C041B"/>
    <w:rsid w:val="006C1BEA"/>
    <w:rsid w:val="006C26E8"/>
    <w:rsid w:val="006C2946"/>
    <w:rsid w:val="006C711C"/>
    <w:rsid w:val="006D05EA"/>
    <w:rsid w:val="006E4CD7"/>
    <w:rsid w:val="006F143B"/>
    <w:rsid w:val="006F304F"/>
    <w:rsid w:val="006F513A"/>
    <w:rsid w:val="006F53B8"/>
    <w:rsid w:val="006F72D4"/>
    <w:rsid w:val="007167C9"/>
    <w:rsid w:val="00725F48"/>
    <w:rsid w:val="00736F32"/>
    <w:rsid w:val="0074025D"/>
    <w:rsid w:val="00741021"/>
    <w:rsid w:val="0074337D"/>
    <w:rsid w:val="007442D3"/>
    <w:rsid w:val="007472CE"/>
    <w:rsid w:val="007510B8"/>
    <w:rsid w:val="00752F2D"/>
    <w:rsid w:val="0076251F"/>
    <w:rsid w:val="00762801"/>
    <w:rsid w:val="0076579A"/>
    <w:rsid w:val="00772F46"/>
    <w:rsid w:val="00777468"/>
    <w:rsid w:val="00792776"/>
    <w:rsid w:val="00793DD2"/>
    <w:rsid w:val="007A09BC"/>
    <w:rsid w:val="007A45D4"/>
    <w:rsid w:val="007B25C2"/>
    <w:rsid w:val="007B5E78"/>
    <w:rsid w:val="007C3044"/>
    <w:rsid w:val="007D1510"/>
    <w:rsid w:val="007E39F0"/>
    <w:rsid w:val="007F0805"/>
    <w:rsid w:val="007F483D"/>
    <w:rsid w:val="007F4EA7"/>
    <w:rsid w:val="00814C00"/>
    <w:rsid w:val="00816BB1"/>
    <w:rsid w:val="0082072E"/>
    <w:rsid w:val="00836682"/>
    <w:rsid w:val="00840836"/>
    <w:rsid w:val="00845A49"/>
    <w:rsid w:val="00853DD1"/>
    <w:rsid w:val="00855AE7"/>
    <w:rsid w:val="0085614A"/>
    <w:rsid w:val="00870BA4"/>
    <w:rsid w:val="00874EF9"/>
    <w:rsid w:val="00883C3A"/>
    <w:rsid w:val="008842FD"/>
    <w:rsid w:val="00884491"/>
    <w:rsid w:val="00884E88"/>
    <w:rsid w:val="008876FA"/>
    <w:rsid w:val="008A248B"/>
    <w:rsid w:val="008B4E1A"/>
    <w:rsid w:val="008D5DC9"/>
    <w:rsid w:val="008D6E01"/>
    <w:rsid w:val="008E305F"/>
    <w:rsid w:val="008E3BA4"/>
    <w:rsid w:val="008E5C7F"/>
    <w:rsid w:val="008E6C3C"/>
    <w:rsid w:val="008F35E3"/>
    <w:rsid w:val="008F3BC5"/>
    <w:rsid w:val="008F5482"/>
    <w:rsid w:val="00900802"/>
    <w:rsid w:val="00900D9B"/>
    <w:rsid w:val="00903D0C"/>
    <w:rsid w:val="00907294"/>
    <w:rsid w:val="00940E3C"/>
    <w:rsid w:val="009413C8"/>
    <w:rsid w:val="009550B8"/>
    <w:rsid w:val="009578ED"/>
    <w:rsid w:val="0096426A"/>
    <w:rsid w:val="009671D3"/>
    <w:rsid w:val="00981102"/>
    <w:rsid w:val="00992BEE"/>
    <w:rsid w:val="009B19D6"/>
    <w:rsid w:val="009B1B6C"/>
    <w:rsid w:val="009B3C07"/>
    <w:rsid w:val="009C06E9"/>
    <w:rsid w:val="009C3DAD"/>
    <w:rsid w:val="009C40BB"/>
    <w:rsid w:val="009D27B0"/>
    <w:rsid w:val="009D4412"/>
    <w:rsid w:val="009D7033"/>
    <w:rsid w:val="009E181D"/>
    <w:rsid w:val="009E5F9C"/>
    <w:rsid w:val="009E6275"/>
    <w:rsid w:val="009F0140"/>
    <w:rsid w:val="00A15F4B"/>
    <w:rsid w:val="00A17123"/>
    <w:rsid w:val="00A2030B"/>
    <w:rsid w:val="00A21990"/>
    <w:rsid w:val="00A22067"/>
    <w:rsid w:val="00A311B4"/>
    <w:rsid w:val="00A32BE6"/>
    <w:rsid w:val="00A44C97"/>
    <w:rsid w:val="00A46B35"/>
    <w:rsid w:val="00A50183"/>
    <w:rsid w:val="00A5134C"/>
    <w:rsid w:val="00A52F32"/>
    <w:rsid w:val="00A538A1"/>
    <w:rsid w:val="00A60C05"/>
    <w:rsid w:val="00A62C50"/>
    <w:rsid w:val="00A637C1"/>
    <w:rsid w:val="00A6729A"/>
    <w:rsid w:val="00A76A59"/>
    <w:rsid w:val="00A81759"/>
    <w:rsid w:val="00A93F82"/>
    <w:rsid w:val="00A949DE"/>
    <w:rsid w:val="00AA3700"/>
    <w:rsid w:val="00AA3804"/>
    <w:rsid w:val="00AB3BB1"/>
    <w:rsid w:val="00AC10C6"/>
    <w:rsid w:val="00AC5A4C"/>
    <w:rsid w:val="00AD35A0"/>
    <w:rsid w:val="00AD542E"/>
    <w:rsid w:val="00AD6C77"/>
    <w:rsid w:val="00AE0435"/>
    <w:rsid w:val="00AE4616"/>
    <w:rsid w:val="00AE49CB"/>
    <w:rsid w:val="00AF01BA"/>
    <w:rsid w:val="00AF3662"/>
    <w:rsid w:val="00B0163B"/>
    <w:rsid w:val="00B02597"/>
    <w:rsid w:val="00B07BD0"/>
    <w:rsid w:val="00B1655B"/>
    <w:rsid w:val="00B23210"/>
    <w:rsid w:val="00B30EFD"/>
    <w:rsid w:val="00B323F7"/>
    <w:rsid w:val="00B34B2D"/>
    <w:rsid w:val="00B360AA"/>
    <w:rsid w:val="00B3794C"/>
    <w:rsid w:val="00B37D75"/>
    <w:rsid w:val="00B43D03"/>
    <w:rsid w:val="00B4516E"/>
    <w:rsid w:val="00B50164"/>
    <w:rsid w:val="00B52977"/>
    <w:rsid w:val="00B52BB8"/>
    <w:rsid w:val="00B53A03"/>
    <w:rsid w:val="00B54BA4"/>
    <w:rsid w:val="00B60A71"/>
    <w:rsid w:val="00B671CB"/>
    <w:rsid w:val="00B80BC7"/>
    <w:rsid w:val="00BA47C0"/>
    <w:rsid w:val="00BB28B8"/>
    <w:rsid w:val="00BB29F3"/>
    <w:rsid w:val="00BB5C24"/>
    <w:rsid w:val="00BB7039"/>
    <w:rsid w:val="00BC01E7"/>
    <w:rsid w:val="00BD042B"/>
    <w:rsid w:val="00BD6C15"/>
    <w:rsid w:val="00BE719C"/>
    <w:rsid w:val="00BF6AFE"/>
    <w:rsid w:val="00C05355"/>
    <w:rsid w:val="00C12994"/>
    <w:rsid w:val="00C32DCE"/>
    <w:rsid w:val="00C44BBE"/>
    <w:rsid w:val="00C470E1"/>
    <w:rsid w:val="00C5792F"/>
    <w:rsid w:val="00C7120A"/>
    <w:rsid w:val="00C74D17"/>
    <w:rsid w:val="00C77013"/>
    <w:rsid w:val="00C82F8A"/>
    <w:rsid w:val="00C83312"/>
    <w:rsid w:val="00C86C5E"/>
    <w:rsid w:val="00C9508B"/>
    <w:rsid w:val="00CA7052"/>
    <w:rsid w:val="00CB0673"/>
    <w:rsid w:val="00CC0350"/>
    <w:rsid w:val="00CC2F13"/>
    <w:rsid w:val="00CD3524"/>
    <w:rsid w:val="00CF1BA8"/>
    <w:rsid w:val="00CF73DC"/>
    <w:rsid w:val="00D317F0"/>
    <w:rsid w:val="00D430F9"/>
    <w:rsid w:val="00D5128D"/>
    <w:rsid w:val="00D62959"/>
    <w:rsid w:val="00D66E67"/>
    <w:rsid w:val="00D67883"/>
    <w:rsid w:val="00D70093"/>
    <w:rsid w:val="00D73C2C"/>
    <w:rsid w:val="00D74322"/>
    <w:rsid w:val="00D76355"/>
    <w:rsid w:val="00D767E3"/>
    <w:rsid w:val="00D847D0"/>
    <w:rsid w:val="00DA1992"/>
    <w:rsid w:val="00DA2B91"/>
    <w:rsid w:val="00DB1C80"/>
    <w:rsid w:val="00DB40E7"/>
    <w:rsid w:val="00DB7E3F"/>
    <w:rsid w:val="00DC3ABD"/>
    <w:rsid w:val="00DD00C8"/>
    <w:rsid w:val="00DE3028"/>
    <w:rsid w:val="00DE3FFE"/>
    <w:rsid w:val="00DF7E29"/>
    <w:rsid w:val="00E023F0"/>
    <w:rsid w:val="00E1231D"/>
    <w:rsid w:val="00E151B8"/>
    <w:rsid w:val="00E23B93"/>
    <w:rsid w:val="00E244E1"/>
    <w:rsid w:val="00E30F8A"/>
    <w:rsid w:val="00E3464B"/>
    <w:rsid w:val="00E37F77"/>
    <w:rsid w:val="00E40548"/>
    <w:rsid w:val="00E42D4C"/>
    <w:rsid w:val="00E53F44"/>
    <w:rsid w:val="00E57814"/>
    <w:rsid w:val="00E57F7C"/>
    <w:rsid w:val="00E7355C"/>
    <w:rsid w:val="00E76489"/>
    <w:rsid w:val="00E83F7E"/>
    <w:rsid w:val="00E85626"/>
    <w:rsid w:val="00E8635C"/>
    <w:rsid w:val="00EA752B"/>
    <w:rsid w:val="00EE2B0C"/>
    <w:rsid w:val="00EF56FF"/>
    <w:rsid w:val="00F1117D"/>
    <w:rsid w:val="00F13D51"/>
    <w:rsid w:val="00F1683C"/>
    <w:rsid w:val="00F174DB"/>
    <w:rsid w:val="00F228DF"/>
    <w:rsid w:val="00F324D6"/>
    <w:rsid w:val="00F400BD"/>
    <w:rsid w:val="00F407C1"/>
    <w:rsid w:val="00F40B6D"/>
    <w:rsid w:val="00F4411B"/>
    <w:rsid w:val="00F53FEB"/>
    <w:rsid w:val="00F57263"/>
    <w:rsid w:val="00F61119"/>
    <w:rsid w:val="00F63122"/>
    <w:rsid w:val="00F700BD"/>
    <w:rsid w:val="00F761B2"/>
    <w:rsid w:val="00F843F2"/>
    <w:rsid w:val="00F96D30"/>
    <w:rsid w:val="00FA43D0"/>
    <w:rsid w:val="00FB2A58"/>
    <w:rsid w:val="00FD487C"/>
    <w:rsid w:val="00FE0B03"/>
    <w:rsid w:val="00FE0D32"/>
    <w:rsid w:val="00FE349F"/>
    <w:rsid w:val="00FF2B76"/>
    <w:rsid w:val="00FF628C"/>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unhideWhenUsed/>
    <w:rsid w:val="00874EF9"/>
    <w:rPr>
      <w:color w:val="605E5C"/>
      <w:shd w:val="clear" w:color="auto" w:fill="E1DFDD"/>
    </w:rPr>
  </w:style>
  <w:style w:type="character" w:styleId="Fett">
    <w:name w:val="Strong"/>
    <w:basedOn w:val="Absatz-Standardschriftart"/>
    <w:uiPriority w:val="22"/>
    <w:qFormat/>
    <w:rsid w:val="001A12F4"/>
    <w:rPr>
      <w:b/>
      <w:bCs/>
    </w:rPr>
  </w:style>
  <w:style w:type="character" w:styleId="Erwhnung">
    <w:name w:val="Mention"/>
    <w:basedOn w:val="Absatz-Standardschriftart"/>
    <w:uiPriority w:val="99"/>
    <w:unhideWhenUsed/>
    <w:rsid w:val="006C2946"/>
    <w:rPr>
      <w:color w:val="2B579A"/>
      <w:shd w:val="clear" w:color="auto" w:fill="E1DFDD"/>
    </w:rPr>
  </w:style>
  <w:style w:type="character" w:styleId="BesuchterLink">
    <w:name w:val="FollowedHyperlink"/>
    <w:basedOn w:val="Absatz-Standardschriftart"/>
    <w:uiPriority w:val="99"/>
    <w:semiHidden/>
    <w:unhideWhenUsed/>
    <w:rsid w:val="002C62AC"/>
    <w:rPr>
      <w:color w:val="954F72" w:themeColor="followedHyperlink"/>
      <w:u w:val="single"/>
    </w:rPr>
  </w:style>
  <w:style w:type="paragraph" w:customStyle="1" w:styleId="TBodynormalNumber">
    <w:name w:val="T_Body_normal_Number"/>
    <w:basedOn w:val="Standard"/>
    <w:link w:val="TBodynormalNumberZchn"/>
    <w:qFormat/>
    <w:rsid w:val="008E3BA4"/>
    <w:pPr>
      <w:keepNext/>
      <w:keepLines w:val="0"/>
      <w:tabs>
        <w:tab w:val="left" w:pos="170"/>
        <w:tab w:val="left" w:pos="340"/>
        <w:tab w:val="left" w:pos="510"/>
        <w:tab w:val="left" w:pos="680"/>
        <w:tab w:val="left" w:pos="851"/>
      </w:tabs>
      <w:suppressAutoHyphens/>
      <w:spacing w:before="38" w:after="49" w:line="160" w:lineRule="exact"/>
      <w:ind w:left="57" w:right="57"/>
      <w:jc w:val="right"/>
    </w:pPr>
    <w:rPr>
      <w:rFonts w:ascii="Continental Stag Sans Light" w:eastAsia="SimSun" w:hAnsi="Continental Stag Sans Light" w:cs="Times New Roman"/>
      <w:spacing w:val="2"/>
      <w:sz w:val="13"/>
      <w:szCs w:val="20"/>
      <w:lang w:eastAsia="zh-CN"/>
    </w:rPr>
  </w:style>
  <w:style w:type="paragraph" w:customStyle="1" w:styleId="TBodynormalText">
    <w:name w:val="T_Body_normal_Text"/>
    <w:basedOn w:val="TBodynormalNumber"/>
    <w:link w:val="TBodynormalTextZchn"/>
    <w:qFormat/>
    <w:rsid w:val="008E3BA4"/>
    <w:pPr>
      <w:ind w:left="0"/>
      <w:jc w:val="left"/>
    </w:pPr>
    <w:rPr>
      <w:spacing w:val="5"/>
      <w:kern w:val="1"/>
      <w:szCs w:val="16"/>
    </w:rPr>
  </w:style>
  <w:style w:type="paragraph" w:customStyle="1" w:styleId="TDummyRow">
    <w:name w:val="T_Dummy_Row"/>
    <w:basedOn w:val="Standard"/>
    <w:qFormat/>
    <w:rsid w:val="008E3BA4"/>
    <w:pPr>
      <w:keepNext/>
      <w:keepLines w:val="0"/>
      <w:tabs>
        <w:tab w:val="left" w:pos="170"/>
        <w:tab w:val="left" w:pos="340"/>
        <w:tab w:val="left" w:pos="510"/>
        <w:tab w:val="left" w:pos="680"/>
        <w:tab w:val="left" w:pos="851"/>
      </w:tabs>
      <w:suppressAutoHyphens/>
      <w:spacing w:after="0" w:line="14" w:lineRule="exact"/>
      <w:ind w:left="57" w:right="57"/>
      <w:jc w:val="right"/>
    </w:pPr>
    <w:rPr>
      <w:rFonts w:ascii="Continental Stag Sans Light" w:eastAsia="SimSun" w:hAnsi="Continental Stag Sans Light" w:cs="Times New Roman"/>
      <w:spacing w:val="2"/>
      <w:sz w:val="13"/>
      <w:szCs w:val="20"/>
      <w:lang w:eastAsia="zh-CN"/>
    </w:rPr>
  </w:style>
  <w:style w:type="paragraph" w:customStyle="1" w:styleId="THeadfirstNumber">
    <w:name w:val="T_Head_first_Number"/>
    <w:basedOn w:val="Standard"/>
    <w:qFormat/>
    <w:rsid w:val="008E3BA4"/>
    <w:pPr>
      <w:keepNext/>
      <w:keepLines w:val="0"/>
      <w:tabs>
        <w:tab w:val="left" w:pos="170"/>
        <w:tab w:val="left" w:pos="340"/>
        <w:tab w:val="left" w:pos="510"/>
        <w:tab w:val="left" w:pos="680"/>
        <w:tab w:val="left" w:pos="851"/>
      </w:tabs>
      <w:suppressAutoHyphens/>
      <w:spacing w:before="176" w:after="49" w:line="160" w:lineRule="exact"/>
      <w:ind w:left="57" w:right="57"/>
      <w:jc w:val="right"/>
    </w:pPr>
    <w:rPr>
      <w:rFonts w:ascii="Continental Stag Sans Light" w:eastAsia="SimSun" w:hAnsi="Continental Stag Sans Light" w:cs="Times New Roman"/>
      <w:spacing w:val="4"/>
      <w:sz w:val="13"/>
      <w:szCs w:val="20"/>
      <w:lang w:eastAsia="zh-CN"/>
    </w:rPr>
  </w:style>
  <w:style w:type="paragraph" w:customStyle="1" w:styleId="THeadfirstText">
    <w:name w:val="T_Head_first_Text"/>
    <w:basedOn w:val="THeadfirstNumber"/>
    <w:qFormat/>
    <w:rsid w:val="008E3BA4"/>
    <w:pPr>
      <w:ind w:left="0"/>
      <w:jc w:val="left"/>
    </w:pPr>
    <w:rPr>
      <w:rFonts w:ascii="Continental Stag Sans Med" w:hAnsi="Continental Stag Sans Med"/>
      <w:spacing w:val="5"/>
      <w:kern w:val="1"/>
      <w:szCs w:val="16"/>
    </w:rPr>
  </w:style>
  <w:style w:type="paragraph" w:customStyle="1" w:styleId="THeadlastNumber">
    <w:name w:val="T_Head_last_Number"/>
    <w:basedOn w:val="Standard"/>
    <w:qFormat/>
    <w:rsid w:val="008E3BA4"/>
    <w:pPr>
      <w:keepNext/>
      <w:keepLines w:val="0"/>
      <w:tabs>
        <w:tab w:val="left" w:pos="170"/>
        <w:tab w:val="left" w:pos="340"/>
        <w:tab w:val="left" w:pos="510"/>
        <w:tab w:val="left" w:pos="680"/>
        <w:tab w:val="left" w:pos="851"/>
      </w:tabs>
      <w:suppressAutoHyphens/>
      <w:spacing w:before="38" w:after="49" w:line="160" w:lineRule="exact"/>
      <w:ind w:left="57" w:right="57"/>
      <w:jc w:val="right"/>
    </w:pPr>
    <w:rPr>
      <w:rFonts w:ascii="Continental Stag Sans Light" w:eastAsia="SimSun" w:hAnsi="Continental Stag Sans Light" w:cs="Times New Roman"/>
      <w:spacing w:val="4"/>
      <w:sz w:val="13"/>
      <w:szCs w:val="20"/>
      <w:lang w:eastAsia="zh-CN"/>
    </w:rPr>
  </w:style>
  <w:style w:type="paragraph" w:customStyle="1" w:styleId="THeadlastText">
    <w:name w:val="T_Head_last_Text"/>
    <w:basedOn w:val="THeadlastNumber"/>
    <w:qFormat/>
    <w:rsid w:val="008E3BA4"/>
    <w:pPr>
      <w:ind w:left="0"/>
      <w:jc w:val="left"/>
    </w:pPr>
    <w:rPr>
      <w:rFonts w:ascii="Continental Stag Sans Med" w:hAnsi="Continental Stag Sans Med"/>
      <w:spacing w:val="5"/>
      <w:kern w:val="1"/>
      <w:szCs w:val="16"/>
    </w:rPr>
  </w:style>
  <w:style w:type="paragraph" w:customStyle="1" w:styleId="TNote">
    <w:name w:val="T_Note"/>
    <w:basedOn w:val="Standard"/>
    <w:next w:val="Standard"/>
    <w:qFormat/>
    <w:rsid w:val="008E3BA4"/>
    <w:pPr>
      <w:keepLines w:val="0"/>
      <w:suppressAutoHyphens/>
      <w:spacing w:before="146" w:after="440" w:line="160" w:lineRule="exact"/>
      <w:ind w:left="113" w:hanging="113"/>
      <w:contextualSpacing/>
    </w:pPr>
    <w:rPr>
      <w:rFonts w:ascii="Continental Stag Sans Light" w:eastAsia="SimSun" w:hAnsi="Continental Stag Sans Light" w:cs="Times New Roman"/>
      <w:i/>
      <w:spacing w:val="4"/>
      <w:kern w:val="1"/>
      <w:sz w:val="13"/>
      <w:szCs w:val="20"/>
      <w:lang w:eastAsia="zh-CN"/>
    </w:rPr>
  </w:style>
  <w:style w:type="paragraph" w:customStyle="1" w:styleId="05-Answer">
    <w:name w:val="05-Answer"/>
    <w:basedOn w:val="Standard"/>
    <w:rsid w:val="00A637C1"/>
    <w:pPr>
      <w:keepLines w:val="0"/>
      <w:numPr>
        <w:numId w:val="12"/>
      </w:numPr>
      <w:spacing w:before="100" w:after="160"/>
    </w:pPr>
    <w:rPr>
      <w:rFonts w:cs="Arial"/>
      <w:lang w:eastAsia="de-DE"/>
    </w:rPr>
  </w:style>
  <w:style w:type="paragraph" w:styleId="berarbeitung">
    <w:name w:val="Revision"/>
    <w:hidden/>
    <w:uiPriority w:val="99"/>
    <w:semiHidden/>
    <w:rsid w:val="00C82F8A"/>
    <w:pPr>
      <w:spacing w:after="0" w:line="240" w:lineRule="auto"/>
    </w:pPr>
    <w:rPr>
      <w:rFonts w:ascii="Arial" w:hAnsi="Arial"/>
      <w:lang w:val="de-DE"/>
    </w:rPr>
  </w:style>
  <w:style w:type="character" w:customStyle="1" w:styleId="TBodynormalNumberZchn">
    <w:name w:val="T_Body_normal_Number Zchn"/>
    <w:basedOn w:val="Absatz-Standardschriftart"/>
    <w:link w:val="TBodynormalNumber"/>
    <w:locked/>
    <w:rsid w:val="00B1655B"/>
    <w:rPr>
      <w:rFonts w:ascii="Continental Stag Sans Light" w:eastAsia="SimSun" w:hAnsi="Continental Stag Sans Light" w:cs="Times New Roman"/>
      <w:spacing w:val="2"/>
      <w:sz w:val="13"/>
      <w:szCs w:val="20"/>
      <w:lang w:val="de-DE" w:eastAsia="zh-CN"/>
    </w:rPr>
  </w:style>
  <w:style w:type="character" w:customStyle="1" w:styleId="TBodynormalTextZchn">
    <w:name w:val="T_Body_normal_Text Zchn"/>
    <w:basedOn w:val="TBodynormalNumberZchn"/>
    <w:link w:val="TBodynormalText"/>
    <w:locked/>
    <w:rsid w:val="00B1655B"/>
    <w:rPr>
      <w:rFonts w:ascii="Continental Stag Sans Light" w:eastAsia="SimSun" w:hAnsi="Continental Stag Sans Light" w:cs="Times New Roman"/>
      <w:spacing w:val="5"/>
      <w:kern w:val="1"/>
      <w:sz w:val="13"/>
      <w:szCs w:val="16"/>
      <w:lang w:val="de-DE" w:eastAsia="zh-CN"/>
    </w:rPr>
  </w:style>
  <w:style w:type="paragraph" w:customStyle="1" w:styleId="StandardohneAbstand">
    <w:name w:val="Standard ohne Abstand"/>
    <w:basedOn w:val="Standard"/>
    <w:link w:val="StandardohneAbstandZchn1"/>
    <w:qFormat/>
    <w:rsid w:val="00162141"/>
    <w:pPr>
      <w:keepLines w:val="0"/>
      <w:spacing w:after="0" w:line="220" w:lineRule="exact"/>
    </w:pPr>
    <w:rPr>
      <w:rFonts w:ascii="Continental Stag Sans Light" w:eastAsia="SimSun" w:hAnsi="Continental Stag Sans Light" w:cs="Times New Roman"/>
      <w:spacing w:val="4"/>
      <w:kern w:val="2"/>
      <w:sz w:val="17"/>
      <w:szCs w:val="20"/>
      <w:lang w:eastAsia="zh-CN"/>
    </w:rPr>
  </w:style>
  <w:style w:type="character" w:customStyle="1" w:styleId="StandardohneAbstandZchn1">
    <w:name w:val="Standard ohne Abstand Zchn1"/>
    <w:basedOn w:val="Absatz-Standardschriftart"/>
    <w:link w:val="StandardohneAbstand"/>
    <w:rsid w:val="00162141"/>
    <w:rPr>
      <w:rFonts w:ascii="Continental Stag Sans Light" w:eastAsia="SimSun" w:hAnsi="Continental Stag Sans Light" w:cs="Times New Roman"/>
      <w:spacing w:val="4"/>
      <w:kern w:val="2"/>
      <w:sz w:val="17"/>
      <w:szCs w:val="20"/>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7392">
      <w:bodyDiv w:val="1"/>
      <w:marLeft w:val="0"/>
      <w:marRight w:val="0"/>
      <w:marTop w:val="0"/>
      <w:marBottom w:val="0"/>
      <w:divBdr>
        <w:top w:val="none" w:sz="0" w:space="0" w:color="auto"/>
        <w:left w:val="none" w:sz="0" w:space="0" w:color="auto"/>
        <w:bottom w:val="none" w:sz="0" w:space="0" w:color="auto"/>
        <w:right w:val="none" w:sz="0" w:space="0" w:color="auto"/>
      </w:divBdr>
    </w:div>
    <w:div w:id="237978226">
      <w:bodyDiv w:val="1"/>
      <w:marLeft w:val="0"/>
      <w:marRight w:val="0"/>
      <w:marTop w:val="0"/>
      <w:marBottom w:val="0"/>
      <w:divBdr>
        <w:top w:val="none" w:sz="0" w:space="0" w:color="auto"/>
        <w:left w:val="none" w:sz="0" w:space="0" w:color="auto"/>
        <w:bottom w:val="none" w:sz="0" w:space="0" w:color="auto"/>
        <w:right w:val="none" w:sz="0" w:space="0" w:color="auto"/>
      </w:divBdr>
    </w:div>
    <w:div w:id="534268047">
      <w:bodyDiv w:val="1"/>
      <w:marLeft w:val="0"/>
      <w:marRight w:val="0"/>
      <w:marTop w:val="0"/>
      <w:marBottom w:val="0"/>
      <w:divBdr>
        <w:top w:val="none" w:sz="0" w:space="0" w:color="auto"/>
        <w:left w:val="none" w:sz="0" w:space="0" w:color="auto"/>
        <w:bottom w:val="none" w:sz="0" w:space="0" w:color="auto"/>
        <w:right w:val="none" w:sz="0" w:space="0" w:color="auto"/>
      </w:divBdr>
    </w:div>
    <w:div w:id="752823520">
      <w:bodyDiv w:val="1"/>
      <w:marLeft w:val="0"/>
      <w:marRight w:val="0"/>
      <w:marTop w:val="0"/>
      <w:marBottom w:val="0"/>
      <w:divBdr>
        <w:top w:val="none" w:sz="0" w:space="0" w:color="auto"/>
        <w:left w:val="none" w:sz="0" w:space="0" w:color="auto"/>
        <w:bottom w:val="none" w:sz="0" w:space="0" w:color="auto"/>
        <w:right w:val="none" w:sz="0" w:space="0" w:color="auto"/>
      </w:divBdr>
    </w:div>
    <w:div w:id="1312708806">
      <w:bodyDiv w:val="1"/>
      <w:marLeft w:val="0"/>
      <w:marRight w:val="0"/>
      <w:marTop w:val="0"/>
      <w:marBottom w:val="0"/>
      <w:divBdr>
        <w:top w:val="none" w:sz="0" w:space="0" w:color="auto"/>
        <w:left w:val="none" w:sz="0" w:space="0" w:color="auto"/>
        <w:bottom w:val="none" w:sz="0" w:space="0" w:color="auto"/>
        <w:right w:val="none" w:sz="0" w:space="0" w:color="auto"/>
      </w:divBdr>
    </w:div>
    <w:div w:id="1838954065">
      <w:bodyDiv w:val="1"/>
      <w:marLeft w:val="0"/>
      <w:marRight w:val="0"/>
      <w:marTop w:val="0"/>
      <w:marBottom w:val="0"/>
      <w:divBdr>
        <w:top w:val="none" w:sz="0" w:space="0" w:color="auto"/>
        <w:left w:val="none" w:sz="0" w:space="0" w:color="auto"/>
        <w:bottom w:val="none" w:sz="0" w:space="0" w:color="auto"/>
        <w:right w:val="none" w:sz="0" w:space="0" w:color="auto"/>
      </w:divBdr>
    </w:div>
    <w:div w:id="20205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nt.charles@conti.de" TargetMode="External"/><Relationship Id="rId13" Type="http://schemas.openxmlformats.org/officeDocument/2006/relationships/hyperlink" Target="http://www.continental-presse.de" TargetMode="External"/><Relationship Id="rId3" Type="http://schemas.openxmlformats.org/officeDocument/2006/relationships/settings" Target="settings.xml"/><Relationship Id="rId7" Type="http://schemas.openxmlformats.org/officeDocument/2006/relationships/hyperlink" Target="mailto:henry.schniewind@conti.d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twitter.com/conti_pres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tinental.de/mediath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2277</Words>
  <Characters>14349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2020-05-07T05:45:00Z</dcterms:created>
  <dcterms:modified xsi:type="dcterms:W3CDTF">2020-08-12T08:08:00Z</dcterms:modified>
</cp:coreProperties>
</file>